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pacing w:line="240" w:lineRule="auto"/>
        <w:rPr>
          <w:rFonts w:asciiTheme="minorEastAsia" w:hAnsiTheme="minorEastAsia" w:eastAsiaTheme="minorEastAsia"/>
          <w:sz w:val="24"/>
        </w:rPr>
      </w:pPr>
      <w:r>
        <w:rPr>
          <w:rFonts w:hint="eastAsia" w:asciiTheme="minorEastAsia" w:hAnsiTheme="minorEastAsia" w:eastAsiaTheme="minorEastAsia"/>
          <w:sz w:val="24"/>
        </w:rPr>
        <w:t>附件：</w:t>
      </w:r>
    </w:p>
    <w:p>
      <w:pPr>
        <w:pStyle w:val="3"/>
        <w:spacing w:line="240" w:lineRule="auto"/>
        <w:rPr>
          <w:rFonts w:asciiTheme="minorEastAsia" w:hAnsiTheme="minorEastAsia" w:eastAsiaTheme="minorEastAsia"/>
          <w:sz w:val="24"/>
        </w:rPr>
      </w:pPr>
      <w:r>
        <w:rPr>
          <w:rFonts w:hint="eastAsia" w:asciiTheme="minorEastAsia" w:hAnsiTheme="minorEastAsia" w:eastAsiaTheme="minorEastAsia"/>
          <w:sz w:val="24"/>
        </w:rPr>
        <w:t>采购需求一览表</w:t>
      </w:r>
    </w:p>
    <w:tbl>
      <w:tblPr>
        <w:tblStyle w:val="10"/>
        <w:tblW w:w="9901" w:type="dxa"/>
        <w:tblInd w:w="-83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5"/>
        <w:gridCol w:w="2940"/>
        <w:gridCol w:w="1343"/>
        <w:gridCol w:w="1463"/>
        <w:gridCol w:w="150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5" w:type="dxa"/>
            <w:vAlign w:val="center"/>
          </w:tcPr>
          <w:p>
            <w:pPr>
              <w:jc w:val="center"/>
              <w:rPr>
                <w:rFonts w:asciiTheme="minorEastAsia" w:hAnsiTheme="minorEastAsia" w:eastAsiaTheme="minorEastAsia"/>
                <w:sz w:val="24"/>
              </w:rPr>
            </w:pPr>
            <w:r>
              <w:rPr>
                <w:rFonts w:hint="eastAsia"/>
                <w:b/>
                <w:bCs/>
                <w:sz w:val="28"/>
                <w:szCs w:val="28"/>
              </w:rPr>
              <w:t>序号</w:t>
            </w:r>
          </w:p>
        </w:tc>
        <w:tc>
          <w:tcPr>
            <w:tcW w:w="2940" w:type="dxa"/>
            <w:vAlign w:val="center"/>
          </w:tcPr>
          <w:p>
            <w:pPr>
              <w:jc w:val="center"/>
              <w:rPr>
                <w:rFonts w:asciiTheme="minorEastAsia" w:hAnsiTheme="minorEastAsia" w:eastAsiaTheme="minorEastAsia"/>
                <w:sz w:val="24"/>
              </w:rPr>
            </w:pPr>
            <w:r>
              <w:rPr>
                <w:rFonts w:hint="eastAsia"/>
                <w:b/>
                <w:bCs/>
                <w:sz w:val="28"/>
                <w:szCs w:val="28"/>
              </w:rPr>
              <w:t>设备名称</w:t>
            </w:r>
          </w:p>
        </w:tc>
        <w:tc>
          <w:tcPr>
            <w:tcW w:w="1343" w:type="dxa"/>
            <w:vAlign w:val="center"/>
          </w:tcPr>
          <w:p>
            <w:pPr>
              <w:jc w:val="center"/>
              <w:rPr>
                <w:b/>
                <w:bCs/>
                <w:sz w:val="28"/>
                <w:szCs w:val="28"/>
              </w:rPr>
            </w:pPr>
            <w:r>
              <w:rPr>
                <w:rFonts w:hint="eastAsia"/>
                <w:b/>
                <w:bCs/>
                <w:sz w:val="28"/>
                <w:szCs w:val="28"/>
              </w:rPr>
              <w:t>数量</w:t>
            </w:r>
          </w:p>
          <w:p>
            <w:pPr>
              <w:jc w:val="center"/>
              <w:rPr>
                <w:rFonts w:asciiTheme="minorEastAsia" w:hAnsiTheme="minorEastAsia" w:eastAsiaTheme="minorEastAsia"/>
                <w:sz w:val="24"/>
              </w:rPr>
            </w:pPr>
            <w:r>
              <w:rPr>
                <w:rFonts w:hint="eastAsia"/>
                <w:b/>
                <w:bCs/>
                <w:sz w:val="28"/>
                <w:szCs w:val="28"/>
              </w:rPr>
              <w:t>（台/张）</w:t>
            </w:r>
          </w:p>
        </w:tc>
        <w:tc>
          <w:tcPr>
            <w:tcW w:w="1463" w:type="dxa"/>
            <w:vAlign w:val="center"/>
          </w:tcPr>
          <w:p>
            <w:pPr>
              <w:jc w:val="center"/>
              <w:rPr>
                <w:rFonts w:asciiTheme="minorEastAsia" w:hAnsiTheme="minorEastAsia" w:eastAsiaTheme="minorEastAsia"/>
                <w:sz w:val="24"/>
              </w:rPr>
            </w:pPr>
            <w:r>
              <w:rPr>
                <w:rFonts w:hint="eastAsia"/>
                <w:b/>
                <w:bCs/>
                <w:sz w:val="28"/>
                <w:szCs w:val="28"/>
              </w:rPr>
              <w:t>技术参数</w:t>
            </w:r>
          </w:p>
        </w:tc>
        <w:tc>
          <w:tcPr>
            <w:tcW w:w="1500" w:type="dxa"/>
            <w:vAlign w:val="center"/>
          </w:tcPr>
          <w:p>
            <w:pPr>
              <w:jc w:val="center"/>
              <w:rPr>
                <w:rFonts w:asciiTheme="minorEastAsia" w:hAnsiTheme="minorEastAsia" w:eastAsiaTheme="minorEastAsia"/>
                <w:sz w:val="24"/>
              </w:rPr>
            </w:pPr>
            <w:r>
              <w:rPr>
                <w:rFonts w:hint="eastAsia"/>
                <w:b/>
                <w:bCs/>
                <w:sz w:val="28"/>
                <w:szCs w:val="28"/>
              </w:rPr>
              <w:t>单价（元）</w:t>
            </w:r>
          </w:p>
        </w:tc>
        <w:tc>
          <w:tcPr>
            <w:tcW w:w="1620" w:type="dxa"/>
            <w:vAlign w:val="center"/>
          </w:tcPr>
          <w:p>
            <w:pPr>
              <w:jc w:val="center"/>
              <w:rPr>
                <w:rFonts w:asciiTheme="minorEastAsia" w:hAnsiTheme="minorEastAsia" w:eastAsiaTheme="minorEastAsia"/>
                <w:sz w:val="24"/>
              </w:rPr>
            </w:pPr>
            <w:r>
              <w:rPr>
                <w:rFonts w:hint="eastAsia"/>
                <w:b/>
                <w:bCs/>
                <w:sz w:val="28"/>
                <w:szCs w:val="28"/>
              </w:rPr>
              <w:t>合计（元）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35"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2940"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彩色多普勒超声诊断系统</w:t>
            </w:r>
          </w:p>
        </w:tc>
        <w:tc>
          <w:tcPr>
            <w:tcW w:w="1343"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1463" w:type="dxa"/>
            <w:vMerge w:val="restart"/>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具体参数详见如下</w:t>
            </w:r>
          </w:p>
        </w:tc>
        <w:tc>
          <w:tcPr>
            <w:tcW w:w="150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1120000</w:t>
            </w:r>
          </w:p>
        </w:tc>
        <w:tc>
          <w:tcPr>
            <w:tcW w:w="162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1120000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35"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2940"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五分类全自动血液分析仪</w:t>
            </w:r>
          </w:p>
        </w:tc>
        <w:tc>
          <w:tcPr>
            <w:tcW w:w="1343"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1463" w:type="dxa"/>
            <w:vMerge w:val="continue"/>
            <w:vAlign w:val="center"/>
          </w:tcPr>
          <w:p>
            <w:pPr>
              <w:pStyle w:val="3"/>
              <w:spacing w:line="240" w:lineRule="auto"/>
              <w:jc w:val="center"/>
              <w:outlineLvl w:val="1"/>
              <w:rPr>
                <w:rFonts w:asciiTheme="minorEastAsia" w:hAnsiTheme="minorEastAsia" w:eastAsiaTheme="minorEastAsia" w:cstheme="minorEastAsia"/>
                <w:b w:val="0"/>
                <w:sz w:val="24"/>
              </w:rPr>
            </w:pPr>
          </w:p>
        </w:tc>
        <w:tc>
          <w:tcPr>
            <w:tcW w:w="150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280000</w:t>
            </w:r>
          </w:p>
        </w:tc>
        <w:tc>
          <w:tcPr>
            <w:tcW w:w="162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280000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35"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2940"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全自动尿液分析仪</w:t>
            </w:r>
          </w:p>
        </w:tc>
        <w:tc>
          <w:tcPr>
            <w:tcW w:w="1343"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1463" w:type="dxa"/>
            <w:vMerge w:val="continue"/>
            <w:vAlign w:val="center"/>
          </w:tcPr>
          <w:p>
            <w:pPr>
              <w:pStyle w:val="3"/>
              <w:spacing w:line="240" w:lineRule="auto"/>
              <w:jc w:val="center"/>
              <w:outlineLvl w:val="1"/>
              <w:rPr>
                <w:rFonts w:asciiTheme="minorEastAsia" w:hAnsiTheme="minorEastAsia" w:eastAsiaTheme="minorEastAsia" w:cstheme="minorEastAsia"/>
                <w:b w:val="0"/>
                <w:sz w:val="24"/>
              </w:rPr>
            </w:pPr>
          </w:p>
        </w:tc>
        <w:tc>
          <w:tcPr>
            <w:tcW w:w="150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46000</w:t>
            </w:r>
          </w:p>
        </w:tc>
        <w:tc>
          <w:tcPr>
            <w:tcW w:w="162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46000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35"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w:t>
            </w:r>
          </w:p>
        </w:tc>
        <w:tc>
          <w:tcPr>
            <w:tcW w:w="2940"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全自动生化分析仪</w:t>
            </w:r>
          </w:p>
        </w:tc>
        <w:tc>
          <w:tcPr>
            <w:tcW w:w="1343"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1463" w:type="dxa"/>
            <w:vMerge w:val="continue"/>
            <w:vAlign w:val="center"/>
          </w:tcPr>
          <w:p>
            <w:pPr>
              <w:pStyle w:val="3"/>
              <w:spacing w:line="240" w:lineRule="auto"/>
              <w:jc w:val="center"/>
              <w:outlineLvl w:val="1"/>
              <w:rPr>
                <w:rFonts w:asciiTheme="minorEastAsia" w:hAnsiTheme="minorEastAsia" w:eastAsiaTheme="minorEastAsia" w:cstheme="minorEastAsia"/>
                <w:b w:val="0"/>
                <w:sz w:val="24"/>
              </w:rPr>
            </w:pPr>
          </w:p>
        </w:tc>
        <w:tc>
          <w:tcPr>
            <w:tcW w:w="150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786000</w:t>
            </w:r>
          </w:p>
        </w:tc>
        <w:tc>
          <w:tcPr>
            <w:tcW w:w="162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786000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35"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2940"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全自动化学发光免疫分析仪</w:t>
            </w:r>
          </w:p>
        </w:tc>
        <w:tc>
          <w:tcPr>
            <w:tcW w:w="1343"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1463" w:type="dxa"/>
            <w:vMerge w:val="continue"/>
            <w:vAlign w:val="center"/>
          </w:tcPr>
          <w:p>
            <w:pPr>
              <w:pStyle w:val="3"/>
              <w:spacing w:line="240" w:lineRule="auto"/>
              <w:jc w:val="center"/>
              <w:outlineLvl w:val="1"/>
              <w:rPr>
                <w:rFonts w:asciiTheme="minorEastAsia" w:hAnsiTheme="minorEastAsia" w:eastAsiaTheme="minorEastAsia" w:cstheme="minorEastAsia"/>
                <w:b w:val="0"/>
                <w:sz w:val="24"/>
              </w:rPr>
            </w:pPr>
          </w:p>
        </w:tc>
        <w:tc>
          <w:tcPr>
            <w:tcW w:w="150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396000</w:t>
            </w:r>
          </w:p>
        </w:tc>
        <w:tc>
          <w:tcPr>
            <w:tcW w:w="162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396000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35"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w:t>
            </w:r>
          </w:p>
        </w:tc>
        <w:tc>
          <w:tcPr>
            <w:tcW w:w="2940"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病床</w:t>
            </w:r>
          </w:p>
        </w:tc>
        <w:tc>
          <w:tcPr>
            <w:tcW w:w="1343"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20</w:t>
            </w:r>
          </w:p>
        </w:tc>
        <w:tc>
          <w:tcPr>
            <w:tcW w:w="1463" w:type="dxa"/>
            <w:vMerge w:val="continue"/>
            <w:vAlign w:val="center"/>
          </w:tcPr>
          <w:p>
            <w:pPr>
              <w:pStyle w:val="3"/>
              <w:spacing w:line="240" w:lineRule="auto"/>
              <w:jc w:val="center"/>
              <w:outlineLvl w:val="1"/>
              <w:rPr>
                <w:rFonts w:asciiTheme="minorEastAsia" w:hAnsiTheme="minorEastAsia" w:eastAsiaTheme="minorEastAsia" w:cstheme="minorEastAsia"/>
                <w:b w:val="0"/>
                <w:sz w:val="24"/>
              </w:rPr>
            </w:pPr>
          </w:p>
        </w:tc>
        <w:tc>
          <w:tcPr>
            <w:tcW w:w="150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5800</w:t>
            </w:r>
          </w:p>
        </w:tc>
        <w:tc>
          <w:tcPr>
            <w:tcW w:w="162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116000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35"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7</w:t>
            </w:r>
          </w:p>
        </w:tc>
        <w:tc>
          <w:tcPr>
            <w:tcW w:w="2940"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0-8度药品疫苗冰箱</w:t>
            </w:r>
          </w:p>
        </w:tc>
        <w:tc>
          <w:tcPr>
            <w:tcW w:w="1343"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1463" w:type="dxa"/>
            <w:vMerge w:val="continue"/>
            <w:vAlign w:val="center"/>
          </w:tcPr>
          <w:p>
            <w:pPr>
              <w:pStyle w:val="3"/>
              <w:spacing w:line="240" w:lineRule="auto"/>
              <w:jc w:val="center"/>
              <w:outlineLvl w:val="1"/>
              <w:rPr>
                <w:rFonts w:asciiTheme="minorEastAsia" w:hAnsiTheme="minorEastAsia" w:eastAsiaTheme="minorEastAsia" w:cstheme="minorEastAsia"/>
                <w:b w:val="0"/>
                <w:sz w:val="24"/>
              </w:rPr>
            </w:pPr>
          </w:p>
        </w:tc>
        <w:tc>
          <w:tcPr>
            <w:tcW w:w="150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20000</w:t>
            </w:r>
          </w:p>
        </w:tc>
        <w:tc>
          <w:tcPr>
            <w:tcW w:w="162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20000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35"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8</w:t>
            </w:r>
          </w:p>
        </w:tc>
        <w:tc>
          <w:tcPr>
            <w:tcW w:w="2940"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心电机</w:t>
            </w:r>
          </w:p>
        </w:tc>
        <w:tc>
          <w:tcPr>
            <w:tcW w:w="1343"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1463" w:type="dxa"/>
            <w:vMerge w:val="continue"/>
            <w:vAlign w:val="center"/>
          </w:tcPr>
          <w:p>
            <w:pPr>
              <w:pStyle w:val="3"/>
              <w:spacing w:line="240" w:lineRule="auto"/>
              <w:jc w:val="center"/>
              <w:outlineLvl w:val="1"/>
              <w:rPr>
                <w:rFonts w:asciiTheme="minorEastAsia" w:hAnsiTheme="minorEastAsia" w:eastAsiaTheme="minorEastAsia" w:cstheme="minorEastAsia"/>
                <w:b w:val="0"/>
                <w:sz w:val="24"/>
              </w:rPr>
            </w:pPr>
          </w:p>
        </w:tc>
        <w:tc>
          <w:tcPr>
            <w:tcW w:w="150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30000</w:t>
            </w:r>
          </w:p>
        </w:tc>
        <w:tc>
          <w:tcPr>
            <w:tcW w:w="162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30000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35"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9</w:t>
            </w:r>
          </w:p>
        </w:tc>
        <w:tc>
          <w:tcPr>
            <w:tcW w:w="2940"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便携笔记本式彩超</w:t>
            </w:r>
          </w:p>
        </w:tc>
        <w:tc>
          <w:tcPr>
            <w:tcW w:w="1343"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1463" w:type="dxa"/>
            <w:vMerge w:val="continue"/>
            <w:vAlign w:val="center"/>
          </w:tcPr>
          <w:p>
            <w:pPr>
              <w:pStyle w:val="3"/>
              <w:spacing w:line="240" w:lineRule="auto"/>
              <w:jc w:val="center"/>
              <w:outlineLvl w:val="1"/>
              <w:rPr>
                <w:rFonts w:asciiTheme="minorEastAsia" w:hAnsiTheme="minorEastAsia" w:eastAsiaTheme="minorEastAsia" w:cstheme="minorEastAsia"/>
                <w:b w:val="0"/>
                <w:sz w:val="24"/>
              </w:rPr>
            </w:pPr>
          </w:p>
        </w:tc>
        <w:tc>
          <w:tcPr>
            <w:tcW w:w="150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690000</w:t>
            </w:r>
          </w:p>
        </w:tc>
        <w:tc>
          <w:tcPr>
            <w:tcW w:w="162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690000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35"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10</w:t>
            </w:r>
          </w:p>
        </w:tc>
        <w:tc>
          <w:tcPr>
            <w:tcW w:w="2940"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血气分析仪</w:t>
            </w:r>
          </w:p>
        </w:tc>
        <w:tc>
          <w:tcPr>
            <w:tcW w:w="1343" w:type="dxa"/>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1463" w:type="dxa"/>
            <w:vMerge w:val="continue"/>
            <w:vAlign w:val="center"/>
          </w:tcPr>
          <w:p>
            <w:pPr>
              <w:pStyle w:val="3"/>
              <w:spacing w:line="240" w:lineRule="auto"/>
              <w:jc w:val="center"/>
              <w:outlineLvl w:val="1"/>
              <w:rPr>
                <w:rFonts w:asciiTheme="minorEastAsia" w:hAnsiTheme="minorEastAsia" w:eastAsiaTheme="minorEastAsia" w:cstheme="minorEastAsia"/>
                <w:b w:val="0"/>
                <w:sz w:val="24"/>
              </w:rPr>
            </w:pPr>
          </w:p>
        </w:tc>
        <w:tc>
          <w:tcPr>
            <w:tcW w:w="150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148000</w:t>
            </w:r>
          </w:p>
        </w:tc>
        <w:tc>
          <w:tcPr>
            <w:tcW w:w="162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148000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35" w:type="dxa"/>
            <w:vAlign w:val="center"/>
          </w:tcPr>
          <w:p>
            <w:pPr>
              <w:jc w:val="center"/>
              <w:rPr>
                <w:rFonts w:asciiTheme="minorEastAsia" w:hAnsiTheme="minorEastAsia" w:eastAsiaTheme="minorEastAsia" w:cstheme="minorEastAsia"/>
                <w:color w:val="000000" w:themeColor="text1"/>
                <w:sz w:val="24"/>
              </w:rPr>
            </w:pPr>
            <w:r>
              <w:rPr>
                <w:rFonts w:hint="eastAsia" w:asciiTheme="minorEastAsia" w:hAnsiTheme="minorEastAsia" w:eastAsiaTheme="minorEastAsia" w:cstheme="minorEastAsia"/>
                <w:color w:val="000000" w:themeColor="text1"/>
                <w:sz w:val="24"/>
              </w:rPr>
              <w:t>11</w:t>
            </w:r>
          </w:p>
        </w:tc>
        <w:tc>
          <w:tcPr>
            <w:tcW w:w="2940" w:type="dxa"/>
            <w:vAlign w:val="center"/>
          </w:tcPr>
          <w:p>
            <w:pPr>
              <w:jc w:val="center"/>
              <w:rPr>
                <w:color w:val="000000" w:themeColor="text1"/>
              </w:rPr>
            </w:pPr>
          </w:p>
          <w:p>
            <w:pPr>
              <w:tabs>
                <w:tab w:val="left" w:pos="682"/>
              </w:tabs>
              <w:jc w:val="left"/>
              <w:rPr>
                <w:color w:val="000000" w:themeColor="text1"/>
              </w:rPr>
            </w:pPr>
            <w:r>
              <w:rPr>
                <w:rFonts w:hint="eastAsia"/>
                <w:color w:val="000000" w:themeColor="text1"/>
              </w:rPr>
              <w:tab/>
            </w:r>
            <w:r>
              <w:rPr>
                <w:rFonts w:hint="eastAsia" w:asciiTheme="minorEastAsia" w:hAnsiTheme="minorEastAsia" w:eastAsiaTheme="minorEastAsia" w:cstheme="minorEastAsia"/>
                <w:color w:val="000000" w:themeColor="text1"/>
                <w:sz w:val="24"/>
              </w:rPr>
              <w:t>超声骨密度仪</w:t>
            </w:r>
          </w:p>
        </w:tc>
        <w:tc>
          <w:tcPr>
            <w:tcW w:w="1343" w:type="dxa"/>
            <w:vAlign w:val="center"/>
          </w:tcPr>
          <w:p>
            <w:pPr>
              <w:jc w:val="center"/>
              <w:rPr>
                <w:rFonts w:asciiTheme="minorEastAsia" w:hAnsiTheme="minorEastAsia" w:eastAsiaTheme="minorEastAsia" w:cstheme="minorEastAsia"/>
                <w:color w:val="000000" w:themeColor="text1"/>
                <w:sz w:val="24"/>
              </w:rPr>
            </w:pPr>
            <w:r>
              <w:rPr>
                <w:rFonts w:hint="eastAsia" w:asciiTheme="minorEastAsia" w:hAnsiTheme="minorEastAsia" w:eastAsiaTheme="minorEastAsia" w:cstheme="minorEastAsia"/>
                <w:color w:val="000000" w:themeColor="text1"/>
                <w:sz w:val="24"/>
              </w:rPr>
              <w:t>1</w:t>
            </w:r>
          </w:p>
        </w:tc>
        <w:tc>
          <w:tcPr>
            <w:tcW w:w="1463" w:type="dxa"/>
            <w:vMerge w:val="continue"/>
            <w:vAlign w:val="center"/>
          </w:tcPr>
          <w:p>
            <w:pPr>
              <w:pStyle w:val="3"/>
              <w:spacing w:line="240" w:lineRule="auto"/>
              <w:jc w:val="center"/>
              <w:outlineLvl w:val="1"/>
              <w:rPr>
                <w:rFonts w:asciiTheme="minorEastAsia" w:hAnsiTheme="minorEastAsia" w:eastAsiaTheme="minorEastAsia" w:cstheme="minorEastAsia"/>
                <w:b w:val="0"/>
                <w:sz w:val="24"/>
              </w:rPr>
            </w:pPr>
          </w:p>
        </w:tc>
        <w:tc>
          <w:tcPr>
            <w:tcW w:w="150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200000</w:t>
            </w:r>
          </w:p>
        </w:tc>
        <w:tc>
          <w:tcPr>
            <w:tcW w:w="162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200000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035" w:type="dxa"/>
            <w:vAlign w:val="center"/>
          </w:tcPr>
          <w:p>
            <w:pPr>
              <w:jc w:val="center"/>
              <w:rPr>
                <w:rFonts w:asciiTheme="minorEastAsia" w:hAnsiTheme="minorEastAsia" w:eastAsiaTheme="minorEastAsia" w:cstheme="minorEastAsia"/>
                <w:color w:val="000000" w:themeColor="text1"/>
                <w:sz w:val="24"/>
              </w:rPr>
            </w:pPr>
            <w:r>
              <w:rPr>
                <w:rFonts w:hint="eastAsia" w:asciiTheme="minorEastAsia" w:hAnsiTheme="minorEastAsia" w:eastAsiaTheme="minorEastAsia" w:cstheme="minorEastAsia"/>
                <w:color w:val="000000" w:themeColor="text1"/>
                <w:sz w:val="24"/>
              </w:rPr>
              <w:t>12</w:t>
            </w:r>
          </w:p>
        </w:tc>
        <w:tc>
          <w:tcPr>
            <w:tcW w:w="2940" w:type="dxa"/>
            <w:vAlign w:val="center"/>
          </w:tcPr>
          <w:p>
            <w:pPr>
              <w:jc w:val="center"/>
              <w:rPr>
                <w:rFonts w:asciiTheme="minorEastAsia" w:hAnsiTheme="minorEastAsia" w:eastAsiaTheme="minorEastAsia" w:cstheme="minorEastAsia"/>
                <w:color w:val="000000" w:themeColor="text1"/>
                <w:sz w:val="24"/>
              </w:rPr>
            </w:pPr>
            <w:r>
              <w:rPr>
                <w:rFonts w:hint="eastAsia" w:asciiTheme="minorEastAsia" w:hAnsiTheme="minorEastAsia" w:eastAsiaTheme="minorEastAsia" w:cstheme="minorEastAsia"/>
                <w:color w:val="000000" w:themeColor="text1"/>
                <w:sz w:val="24"/>
              </w:rPr>
              <w:t>超声经颅多普勒血流分析仪</w:t>
            </w:r>
          </w:p>
        </w:tc>
        <w:tc>
          <w:tcPr>
            <w:tcW w:w="1343" w:type="dxa"/>
            <w:vAlign w:val="center"/>
          </w:tcPr>
          <w:p>
            <w:pPr>
              <w:jc w:val="center"/>
              <w:rPr>
                <w:rFonts w:asciiTheme="minorEastAsia" w:hAnsiTheme="minorEastAsia" w:eastAsiaTheme="minorEastAsia" w:cstheme="minorEastAsia"/>
                <w:color w:val="000000" w:themeColor="text1"/>
                <w:sz w:val="24"/>
              </w:rPr>
            </w:pPr>
            <w:r>
              <w:rPr>
                <w:rFonts w:hint="eastAsia" w:asciiTheme="minorEastAsia" w:hAnsiTheme="minorEastAsia" w:eastAsiaTheme="minorEastAsia" w:cstheme="minorEastAsia"/>
                <w:color w:val="000000" w:themeColor="text1"/>
                <w:sz w:val="24"/>
              </w:rPr>
              <w:t>1</w:t>
            </w:r>
          </w:p>
        </w:tc>
        <w:tc>
          <w:tcPr>
            <w:tcW w:w="1463" w:type="dxa"/>
            <w:vMerge w:val="continue"/>
            <w:vAlign w:val="center"/>
          </w:tcPr>
          <w:p>
            <w:pPr>
              <w:pStyle w:val="3"/>
              <w:spacing w:line="240" w:lineRule="auto"/>
              <w:jc w:val="center"/>
              <w:outlineLvl w:val="1"/>
              <w:rPr>
                <w:rFonts w:asciiTheme="minorEastAsia" w:hAnsiTheme="minorEastAsia" w:eastAsiaTheme="minorEastAsia" w:cstheme="minorEastAsia"/>
                <w:b w:val="0"/>
                <w:sz w:val="24"/>
              </w:rPr>
            </w:pPr>
          </w:p>
        </w:tc>
        <w:tc>
          <w:tcPr>
            <w:tcW w:w="150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150000</w:t>
            </w:r>
          </w:p>
        </w:tc>
        <w:tc>
          <w:tcPr>
            <w:tcW w:w="1620" w:type="dxa"/>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150000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5318" w:type="dxa"/>
            <w:gridSpan w:val="3"/>
            <w:vAlign w:val="center"/>
          </w:tcPr>
          <w:p>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合计（含税）</w:t>
            </w:r>
          </w:p>
        </w:tc>
        <w:tc>
          <w:tcPr>
            <w:tcW w:w="4583" w:type="dxa"/>
            <w:gridSpan w:val="3"/>
            <w:vAlign w:val="center"/>
          </w:tcPr>
          <w:p>
            <w:pPr>
              <w:pStyle w:val="3"/>
              <w:spacing w:line="240" w:lineRule="auto"/>
              <w:jc w:val="center"/>
              <w:outlineLvl w:val="1"/>
              <w:rPr>
                <w:rFonts w:asciiTheme="minorEastAsia" w:hAnsiTheme="minorEastAsia" w:eastAsiaTheme="minorEastAsia" w:cstheme="minorEastAsia"/>
                <w:b w:val="0"/>
                <w:sz w:val="24"/>
              </w:rPr>
            </w:pPr>
            <w:r>
              <w:rPr>
                <w:rFonts w:hint="eastAsia" w:asciiTheme="minorEastAsia" w:hAnsiTheme="minorEastAsia" w:eastAsiaTheme="minorEastAsia" w:cstheme="minorEastAsia"/>
                <w:b w:val="0"/>
                <w:sz w:val="24"/>
              </w:rPr>
              <w:t>4000000.00</w:t>
            </w:r>
          </w:p>
        </w:tc>
      </w:tr>
    </w:tbl>
    <w:p>
      <w:pPr>
        <w:pStyle w:val="3"/>
        <w:spacing w:line="240" w:lineRule="auto"/>
        <w:rPr>
          <w:rFonts w:asciiTheme="minorEastAsia" w:hAnsiTheme="minorEastAsia" w:eastAsiaTheme="minorEastAsia"/>
          <w:sz w:val="24"/>
        </w:rPr>
      </w:pPr>
      <w:r>
        <w:rPr>
          <w:rFonts w:hint="eastAsia" w:asciiTheme="minorEastAsia" w:hAnsiTheme="minorEastAsia" w:eastAsiaTheme="minorEastAsia"/>
          <w:sz w:val="24"/>
        </w:rPr>
        <w:t xml:space="preserve">（三）技术参数、数量及相关要求清单 </w:t>
      </w:r>
    </w:p>
    <w:p>
      <w:pPr>
        <w:numPr>
          <w:ilvl w:val="0"/>
          <w:numId w:val="1"/>
        </w:numPr>
        <w:spacing w:line="360" w:lineRule="auto"/>
        <w:rPr>
          <w:b/>
          <w:bCs/>
          <w:sz w:val="28"/>
          <w:szCs w:val="28"/>
        </w:rPr>
      </w:pPr>
      <w:r>
        <w:rPr>
          <w:rFonts w:hint="eastAsia"/>
          <w:b/>
          <w:bCs/>
          <w:sz w:val="28"/>
          <w:szCs w:val="28"/>
        </w:rPr>
        <w:t>彩色多普勒超声诊断系统</w:t>
      </w:r>
    </w:p>
    <w:p>
      <w:pPr>
        <w:pStyle w:val="13"/>
        <w:numPr>
          <w:ilvl w:val="0"/>
          <w:numId w:val="2"/>
        </w:numPr>
        <w:spacing w:line="360" w:lineRule="auto"/>
        <w:ind w:firstLineChars="0"/>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用途说明：</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腹部、产科、妇科、心脏、小器官、泌尿、血管、儿科、急诊、麻醉、介入、神经、肌骨、颅脑及其它</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为保证产品的先进性，要求为2017年以后最新版本及最新出产机型，具有用户现场升级能力，可满足将来临床应用扩展需求。</w:t>
      </w:r>
    </w:p>
    <w:p>
      <w:pPr>
        <w:pStyle w:val="13"/>
        <w:numPr>
          <w:ilvl w:val="0"/>
          <w:numId w:val="2"/>
        </w:numPr>
        <w:spacing w:line="360" w:lineRule="auto"/>
        <w:ind w:firstLineChars="0"/>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系统技术规格及概述：</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彩色多普勒超声诊断系统主机</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▲≥21寸高分辨率彩色液晶显示器</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≥13寸高灵敏度防反光彩色触摸屏，角度可调</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控制面板可独立旋转、升降和前后推拉</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数字波束增强器</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多倍波束合成</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▲探头接口≥4个，全激活、相互通用</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二维灰阶模式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谐波成像模式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M型模式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彩色M型模式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解剖M型模式 (≥2条取样线，提供证明图片)</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彩色多普勒成像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频谱多普勒成像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组织多普勒成像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自由臂三维成像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四维成像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▲弹性成像，具备组织硬度定量分析软件和压力曲线提示图标</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宽景成像（要求所有探头可用，支持彩色宽景，扫描速度提示，提供证明图片）</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低机械指数造影成像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空间复合成像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斑点抑制成像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频率复合成像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独立角度偏转</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扩展成像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实时双幅对比成像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组织特异性成像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高分辨率血流成像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一键自动优化，支持独立按键操作（包括应用于二维、彩色及频谱模式）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全屏放大</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局部放大（支持前端、后端放大）</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自动工作流，检查过程中可自动进入检查模式，自动注释和标记体位图等</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穿刺针增强技术（提供证明图片）</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多语言操作界面，英语，中文（包括键盘输入、注释、操作面板等）</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支持语音注释及播放</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▲自助超声教学系统，帮助医生更快掌握超声扫查的手法，实现标准化（提供图片证明）</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焦点位置自动调节。随深度变化焦点位置自动优化，简化操作流程。</w:t>
      </w:r>
    </w:p>
    <w:p>
      <w:pPr>
        <w:pStyle w:val="13"/>
        <w:numPr>
          <w:ilvl w:val="0"/>
          <w:numId w:val="2"/>
        </w:numPr>
        <w:spacing w:line="360" w:lineRule="auto"/>
        <w:ind w:firstLineChars="0"/>
        <w:jc w:val="left"/>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测量/分析和报告</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常规测量</w:t>
      </w:r>
    </w:p>
    <w:p>
      <w:pPr>
        <w:pStyle w:val="13"/>
        <w:spacing w:line="360" w:lineRule="auto"/>
        <w:ind w:left="424" w:leftChars="202" w:firstLine="120" w:firstLineChars="5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多普勒测量</w:t>
      </w:r>
    </w:p>
    <w:p>
      <w:pPr>
        <w:pStyle w:val="13"/>
        <w:spacing w:line="360" w:lineRule="auto"/>
        <w:ind w:left="424" w:leftChars="202" w:firstLine="120" w:firstLineChars="5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自动频谱测量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全科测量包（腹部、妇科、产科、心脏、泌尿、小器官、儿科、血管、神经、急诊科），自动生成报告。</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▲血管内中膜自动测量，可同时自动描记血管前、后壁的内中膜，自动生成测量数据，测量结果参数≥4项。</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IVF卵泡专业分析软件包，具备专业卵泡评估报告，多项IVF评估指标及发育趋线分析。</w:t>
      </w:r>
    </w:p>
    <w:p>
      <w:pPr>
        <w:pStyle w:val="13"/>
        <w:numPr>
          <w:ilvl w:val="1"/>
          <w:numId w:val="2"/>
        </w:numPr>
        <w:tabs>
          <w:tab w:val="left" w:pos="426"/>
        </w:tabs>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自动容积测量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自动产科测量，自动识别并自动计算获得双顶径、头围、枕额径、股骨长、腹围等胎儿评估指标，要求自动测量≥4项胎儿发育评估指标</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自动NT测量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▲心功能自动测量软件,自动识别四腔心、两腔心、心肌边界，无需手动描记。</w:t>
      </w:r>
    </w:p>
    <w:p>
      <w:pPr>
        <w:pStyle w:val="13"/>
        <w:numPr>
          <w:ilvl w:val="0"/>
          <w:numId w:val="2"/>
        </w:numPr>
        <w:spacing w:line="360" w:lineRule="auto"/>
        <w:ind w:firstLineChars="0"/>
        <w:jc w:val="left"/>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电影回放和原始数据处理</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支持二维、彩色、造影、4D等模式的手动和自动回放</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支持向后存储和向前存储，时间长度可预置，向后存储≥5分钟的电影</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支持同屏对比多个不同模式的动态、静态图像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原始数据处理，支持动、静态图像冻结后，最大可进行32项参数调节。</w:t>
      </w:r>
    </w:p>
    <w:p>
      <w:pPr>
        <w:pStyle w:val="13"/>
        <w:numPr>
          <w:ilvl w:val="0"/>
          <w:numId w:val="2"/>
        </w:numPr>
        <w:spacing w:line="360" w:lineRule="auto"/>
        <w:ind w:firstLineChars="0"/>
        <w:jc w:val="left"/>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检查存储和管理（内置超声工作站）</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内置超声工作站</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硬盘：≥1T硬盘 </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多种导出图像格式：动态图像、静态图像以PC格式直接导出，无需特殊软件即能在普通PC 机上直接观看图像。导出、备份图像数据资料同时，可进行实时检查，不影响检查操作</w:t>
      </w:r>
    </w:p>
    <w:p>
      <w:pPr>
        <w:pStyle w:val="13"/>
        <w:numPr>
          <w:ilvl w:val="0"/>
          <w:numId w:val="2"/>
        </w:numPr>
        <w:spacing w:line="360" w:lineRule="auto"/>
        <w:ind w:firstLineChars="0"/>
        <w:jc w:val="left"/>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连通性要求</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▲支持移动终端系统：超声设备与智能设备无线连接，通过无线连接将超声机器的临床图像传输到手机或平板电脑,方便医生会诊。（提供图片证明）</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支持DICOM 3.0接口，具备DICOM妇产科、心脏、血管、乳腺结构化报告，并通过IHE-C中国专项测试认证</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视频/音频输入、输出</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支持ECG信号</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≥5个USB接口</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DVD R/W 刻录光驱</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内置电池。</w:t>
      </w:r>
    </w:p>
    <w:p>
      <w:pPr>
        <w:pStyle w:val="13"/>
        <w:numPr>
          <w:ilvl w:val="0"/>
          <w:numId w:val="2"/>
        </w:numPr>
        <w:spacing w:line="360" w:lineRule="auto"/>
        <w:ind w:firstLineChars="0"/>
        <w:jc w:val="left"/>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安全和认证</w:t>
      </w:r>
    </w:p>
    <w:p>
      <w:pPr>
        <w:spacing w:line="360" w:lineRule="auto"/>
        <w:jc w:val="left"/>
        <w:rPr>
          <w:rFonts w:asciiTheme="minorEastAsia" w:hAnsiTheme="minorEastAsia" w:eastAsiaTheme="minorEastAsia" w:cstheme="minorEastAsia"/>
          <w:sz w:val="24"/>
        </w:rPr>
      </w:pPr>
      <w:r>
        <w:rPr>
          <w:rFonts w:hint="eastAsia" w:asciiTheme="minorEastAsia" w:hAnsiTheme="minorEastAsia" w:cstheme="minorEastAsia"/>
          <w:sz w:val="24"/>
        </w:rPr>
        <w:t>7</w:t>
      </w:r>
      <w:r>
        <w:rPr>
          <w:rFonts w:hint="eastAsia" w:asciiTheme="minorEastAsia" w:hAnsiTheme="minorEastAsia" w:eastAsiaTheme="minorEastAsia" w:cstheme="minorEastAsia"/>
          <w:sz w:val="24"/>
        </w:rPr>
        <w:t>.1  ▲经CE、FDA及CFDA认证</w:t>
      </w:r>
    </w:p>
    <w:p>
      <w:pPr>
        <w:pStyle w:val="13"/>
        <w:numPr>
          <w:ilvl w:val="0"/>
          <w:numId w:val="2"/>
        </w:numPr>
        <w:spacing w:line="360" w:lineRule="auto"/>
        <w:ind w:firstLineChars="0"/>
        <w:jc w:val="left"/>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系统技术参数及要求</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≥21寸高分辨率彩色液晶显示器 </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≥13寸高灵敏度防反光彩色触摸屏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主机重量≤100Kg，方便移动</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探头接口≥4个 全激活、互通互用 </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二维灰阶模式</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数字化声束形成器</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数字化全程动态聚焦，数字化可变孔径及动态变迹，A/D≥12 bit</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接收方式：发射、接收通道≥1024，多倍信号并行处理</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扫描线：每帧线密度≥230超声线</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发射声束聚焦：发射≥8段</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扫描频率：</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电子凸阵：超声频率</w:t>
      </w:r>
      <w:r>
        <w:rPr>
          <w:rFonts w:hint="eastAsia" w:asciiTheme="minorEastAsia" w:hAnsiTheme="minorEastAsia" w:eastAsiaTheme="minorEastAsia" w:cstheme="minorEastAsia"/>
          <w:sz w:val="24"/>
        </w:rPr>
        <w:tab/>
      </w:r>
      <w:r>
        <w:rPr>
          <w:rFonts w:hint="eastAsia" w:asciiTheme="minorEastAsia" w:hAnsiTheme="minorEastAsia" w:eastAsiaTheme="minorEastAsia" w:cstheme="minorEastAsia"/>
          <w:sz w:val="24"/>
        </w:rPr>
        <w:t>1.5- 6.0 MHz</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电子相控阵：超声频率1.5- 5.0MHz</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电子线阵：超声频率</w:t>
      </w:r>
      <w:r>
        <w:rPr>
          <w:rFonts w:hint="eastAsia" w:asciiTheme="minorEastAsia" w:hAnsiTheme="minorEastAsia" w:eastAsiaTheme="minorEastAsia" w:cstheme="minorEastAsia"/>
          <w:sz w:val="24"/>
        </w:rPr>
        <w:tab/>
      </w:r>
      <w:r>
        <w:rPr>
          <w:rFonts w:hint="eastAsia" w:asciiTheme="minorEastAsia" w:hAnsiTheme="minorEastAsia" w:eastAsiaTheme="minorEastAsia" w:cstheme="minorEastAsia"/>
          <w:sz w:val="24"/>
        </w:rPr>
        <w:t>3.0-13.0 MHz</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电子凸阵经阴道：3.0-12.0 MHz</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预设条件：针对不同的检查脏器，预置最佳图像检查条件</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最大显示深度:≥36cm </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最大帧率: ≥1000 帧/秒</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TGC: ≥8段</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LGC: ≥2段</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二维灰阶：≥256</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动态范围: ≥160 </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增益调节: B/M/D分别独立可调，≥100</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伪彩图谱: ≥8种</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彩色多普勒成像</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包括速度、速度方差、能量、方向能量显示等</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显示方式：B/C、B/C/M、B/POWER、B/C/PW</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取样框偏转: ≥±30度 (线阵探头)</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最大帧率: ≥500 帧/秒</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支持B/C 同宽</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频谱多普勒模式</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包括脉冲多普勒、高脉冲重复频率、连续多普勒</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显示方式：B, PW，B/PW, B/C/PW, B/CW, B/C/CW等等</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显示控制：反转、零移位、B刷新、D扩展、B/D扩展等</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最大速度: ≥7.60m/s（连续多普勒速度: ≥30m/s）</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最小速度: ≤1 mm /s（非噪声信号）</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取样容积: 0.5-20mm </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偏转角度: ≥±30度 (线阵探头)</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零位移动：≥8 级</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快速角度校正</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支持频谱自动测量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▲解剖M型成像</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≥2条解剖M线（提供图片证明）</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组织多普勒成像（包括组织速度图、能量图、M型、频谱成像4种模式，提供图片证明）</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支持曲线M型成像</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3D/4D容积成像</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多种模式渲染成像及裁剪等功能；</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容积图像支持斑点噪声抑制优化；</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断层切片成像；</w:t>
      </w:r>
    </w:p>
    <w:p>
      <w:pPr>
        <w:pStyle w:val="13"/>
        <w:numPr>
          <w:ilvl w:val="0"/>
          <w:numId w:val="2"/>
        </w:numPr>
        <w:spacing w:line="360" w:lineRule="auto"/>
        <w:ind w:firstLineChars="0"/>
        <w:jc w:val="left"/>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探头规格</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可选探头类型：相控阵、凸阵、线阵、腔内、容积探头</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探头频率：</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频率带宽1.5-15 MHz（依赖不同探头）</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所有探头均为宽频变频探头,二维、谐波、彩色及频谱多普勒模式分别独立变频，≥3段</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振元：最大有效振元数≥256振元</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穿刺引导</w:t>
      </w:r>
    </w:p>
    <w:p>
      <w:pPr>
        <w:pStyle w:val="13"/>
        <w:spacing w:line="360" w:lineRule="auto"/>
        <w:ind w:left="571" w:leftChars="272" w:firstLine="0"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凸阵、线阵、相控阵具备多角度穿刺引导功能</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▲单晶凸阵探头，带宽: 1.5-5.5MHz，角度≥85°</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腔内凸阵探头，带宽: 3-11.0 MHz，角度≥200°</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线阵探头，带宽: 3-13 MHz , </w:t>
      </w:r>
    </w:p>
    <w:p>
      <w:pPr>
        <w:pStyle w:val="13"/>
        <w:numPr>
          <w:ilvl w:val="0"/>
          <w:numId w:val="2"/>
        </w:numPr>
        <w:spacing w:line="360" w:lineRule="auto"/>
        <w:ind w:firstLineChars="0"/>
        <w:jc w:val="left"/>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声功率输出调节</w:t>
      </w:r>
    </w:p>
    <w:p>
      <w:pPr>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cstheme="minorEastAsia"/>
          <w:sz w:val="24"/>
        </w:rPr>
        <w:t>0</w:t>
      </w:r>
      <w:r>
        <w:rPr>
          <w:rFonts w:hint="eastAsia" w:asciiTheme="minorEastAsia" w:hAnsiTheme="minorEastAsia" w:eastAsiaTheme="minorEastAsia" w:cstheme="minorEastAsia"/>
          <w:sz w:val="24"/>
        </w:rPr>
        <w:t>.1  B/M、彩色、频谱多普勒输出功率可选择分级调节</w:t>
      </w:r>
    </w:p>
    <w:p>
      <w:pPr>
        <w:pStyle w:val="13"/>
        <w:numPr>
          <w:ilvl w:val="0"/>
          <w:numId w:val="2"/>
        </w:numPr>
        <w:spacing w:line="360" w:lineRule="auto"/>
        <w:ind w:firstLineChars="0"/>
        <w:jc w:val="left"/>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外设和附件</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耦合剂加热器       </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探头放置架大于或等于6个，每个探头放置架左右可换</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支持数字黑白、模拟黑白、数字彩色、模拟彩色、文本及无线打印机</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支持脚踏开关</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支持生理信号：ECG</w:t>
      </w:r>
    </w:p>
    <w:p>
      <w:pPr>
        <w:pStyle w:val="13"/>
        <w:numPr>
          <w:ilvl w:val="1"/>
          <w:numId w:val="2"/>
        </w:numPr>
        <w:spacing w:line="360" w:lineRule="auto"/>
        <w:ind w:firstLineChars="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▲可配与彩超主机同品牌超声工作站（提供医疗器械注册证）</w:t>
      </w:r>
    </w:p>
    <w:p>
      <w:pPr>
        <w:spacing w:line="360" w:lineRule="auto"/>
        <w:rPr>
          <w:b/>
          <w:bCs/>
          <w:sz w:val="28"/>
          <w:szCs w:val="28"/>
        </w:rPr>
      </w:pPr>
    </w:p>
    <w:p>
      <w:pPr>
        <w:numPr>
          <w:ilvl w:val="0"/>
          <w:numId w:val="1"/>
        </w:numPr>
        <w:spacing w:line="360" w:lineRule="auto"/>
        <w:rPr>
          <w:b/>
          <w:bCs/>
          <w:sz w:val="28"/>
          <w:szCs w:val="28"/>
        </w:rPr>
      </w:pPr>
      <w:r>
        <w:rPr>
          <w:rFonts w:hint="eastAsia"/>
          <w:b/>
          <w:bCs/>
          <w:sz w:val="28"/>
          <w:szCs w:val="28"/>
        </w:rPr>
        <w:t>五分类全自动血液分析仪</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检测原理：采用激光散射法对白细胞进行准确的五分类检测，采用免疫比浊法进行C-反应蛋白（CRP）测定</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分类通道：具有独立的嗜碱性粒细胞通道</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▲检测参数：≥32项血液检测参数（不含散点图和直方图）</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▲研究参数：≥6项，具有异常淋巴细胞、有核红细胞和原始细胞报警信息</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进样方式：全自动进样，封闭进样</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▲检测模式：具有独立CRP、五分类+CRP等3种以上全血检测模式</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样本添加：可随时添加样本</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进样器容量：≥40个</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进样模式：具有独立的静脉全血、末梢全血、预稀释血检测模式</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样本用量：五分类+CRP模式≤40μl，CRP模式≤20μl</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检测速度：五分类+CRP模式≥50个样本/小时</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预稀释模式：自动定量打出稀释液，具备五分类+CRP功能</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▲线性范围：WBC:0~400×10</w:t>
      </w:r>
      <w:r>
        <w:rPr>
          <w:rFonts w:hint="eastAsia" w:asciiTheme="minorEastAsia" w:hAnsiTheme="minorEastAsia" w:eastAsiaTheme="minorEastAsia" w:cstheme="minorEastAsia"/>
          <w:sz w:val="24"/>
          <w:vertAlign w:val="superscript"/>
        </w:rPr>
        <w:t>9</w:t>
      </w:r>
      <w:r>
        <w:rPr>
          <w:rFonts w:hint="eastAsia" w:asciiTheme="minorEastAsia" w:hAnsiTheme="minorEastAsia" w:eastAsiaTheme="minorEastAsia" w:cstheme="minorEastAsia"/>
          <w:sz w:val="24"/>
        </w:rPr>
        <w:t>/L,PLT:0~5000×10</w:t>
      </w:r>
      <w:r>
        <w:rPr>
          <w:rFonts w:hint="eastAsia" w:asciiTheme="minorEastAsia" w:hAnsiTheme="minorEastAsia" w:eastAsiaTheme="minorEastAsia" w:cstheme="minorEastAsia"/>
          <w:sz w:val="24"/>
          <w:vertAlign w:val="superscript"/>
        </w:rPr>
        <w:t>9</w:t>
      </w:r>
      <w:r>
        <w:rPr>
          <w:rFonts w:hint="eastAsia" w:asciiTheme="minorEastAsia" w:hAnsiTheme="minorEastAsia" w:eastAsiaTheme="minorEastAsia" w:cstheme="minorEastAsia"/>
          <w:sz w:val="24"/>
        </w:rPr>
        <w:t>/L（提供检测报告）</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CRP线性范围：0.3~300mg/L</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CRP携带污染：≤1.0%</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▲CRP结果采用全血细胞体积（即BCV）自动修正，结果更加准确，需提供相关专利证书。</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操作系统：全中文操作分析报告软件</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排堵方式：正反冲洗，高压灼烧</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具有原厂配套的试剂、校准品、质控品，并提供校准品溯源性文件</w:t>
      </w:r>
    </w:p>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▲具有CNAS认可的标准化实验室，能对校准品进行准确的溯源，保证了结果的准确。</w:t>
      </w:r>
    </w:p>
    <w:p>
      <w:pPr>
        <w:pStyle w:val="13"/>
        <w:numPr>
          <w:ilvl w:val="0"/>
          <w:numId w:val="3"/>
        </w:numPr>
        <w:spacing w:line="360" w:lineRule="auto"/>
        <w:ind w:firstLineChars="0"/>
        <w:rPr>
          <w:rFonts w:asciiTheme="minorEastAsia" w:hAnsiTheme="minorEastAsia" w:eastAsiaTheme="minorEastAsia" w:cstheme="minorEastAsia"/>
          <w:sz w:val="24"/>
        </w:rPr>
      </w:pPr>
      <w:bookmarkStart w:id="0" w:name="_Hlk2701365"/>
      <w:r>
        <w:rPr>
          <w:rFonts w:hint="eastAsia" w:asciiTheme="minorEastAsia" w:hAnsiTheme="minorEastAsia" w:eastAsiaTheme="minorEastAsia" w:cstheme="minorEastAsia"/>
          <w:sz w:val="24"/>
        </w:rPr>
        <w:t>▲质量认证：投标厂家有同类产品通过FDA认证，确保产品质量。（提供证明文件）</w:t>
      </w:r>
    </w:p>
    <w:bookmarkEnd w:id="0"/>
    <w:p>
      <w:pPr>
        <w:pStyle w:val="13"/>
        <w:numPr>
          <w:ilvl w:val="0"/>
          <w:numId w:val="3"/>
        </w:numPr>
        <w:spacing w:line="360" w:lineRule="auto"/>
        <w:ind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工作</w:t>
      </w:r>
      <w:r>
        <w:rPr>
          <w:rFonts w:hint="eastAsia" w:asciiTheme="minorEastAsia" w:hAnsiTheme="minorEastAsia" w:eastAsiaTheme="minorEastAsia" w:cstheme="minorEastAsia"/>
          <w:sz w:val="24"/>
          <w:u w:val="single" w:color="FFFFFF"/>
        </w:rPr>
        <w:t>电压: (100V-240V～)允差±10%</w:t>
      </w:r>
    </w:p>
    <w:p>
      <w:pPr>
        <w:pStyle w:val="13"/>
        <w:spacing w:line="360" w:lineRule="auto"/>
        <w:ind w:firstLine="0" w:firstLineChars="0"/>
        <w:rPr>
          <w:rFonts w:asciiTheme="minorEastAsia" w:hAnsiTheme="minorEastAsia" w:eastAsiaTheme="minorEastAsia" w:cstheme="minorEastAsia"/>
          <w:sz w:val="24"/>
          <w:u w:val="single" w:color="FFFFFF"/>
        </w:rPr>
      </w:pPr>
    </w:p>
    <w:p>
      <w:pPr>
        <w:pStyle w:val="13"/>
        <w:numPr>
          <w:ilvl w:val="0"/>
          <w:numId w:val="1"/>
        </w:numPr>
        <w:spacing w:line="360" w:lineRule="auto"/>
        <w:ind w:firstLineChars="0"/>
        <w:rPr>
          <w:b/>
          <w:bCs/>
          <w:sz w:val="28"/>
          <w:szCs w:val="28"/>
        </w:rPr>
      </w:pPr>
      <w:r>
        <w:rPr>
          <w:rFonts w:hint="eastAsia"/>
          <w:b/>
          <w:bCs/>
          <w:sz w:val="28"/>
          <w:szCs w:val="28"/>
        </w:rPr>
        <w:t>全自动尿液分析仪</w:t>
      </w:r>
    </w:p>
    <w:p>
      <w:pPr>
        <w:pStyle w:val="13"/>
        <w:spacing w:line="360" w:lineRule="auto"/>
        <w:ind w:left="420" w:firstLine="0" w:firstLineChars="0"/>
        <w:rPr>
          <w:rFonts w:asciiTheme="minorEastAsia" w:hAnsiTheme="minorEastAsia" w:eastAsiaTheme="minorEastAsia" w:cstheme="minorEastAsia"/>
          <w:b/>
          <w:bCs/>
          <w:sz w:val="24"/>
        </w:rPr>
      </w:pPr>
      <w:r>
        <w:rPr>
          <w:rFonts w:hint="eastAsia" w:asciiTheme="minorEastAsia" w:hAnsiTheme="minorEastAsia" w:cstheme="minorEastAsia"/>
          <w:b/>
          <w:bCs/>
          <w:sz w:val="24"/>
        </w:rPr>
        <w:t>一、</w:t>
      </w:r>
      <w:r>
        <w:rPr>
          <w:rFonts w:hint="eastAsia" w:ascii="宋体" w:hAnsi="宋体"/>
          <w:b/>
          <w:bCs/>
          <w:sz w:val="24"/>
          <w:szCs w:val="28"/>
        </w:rPr>
        <w:t>技术指标及参数</w:t>
      </w:r>
    </w:p>
    <w:p>
      <w:pPr>
        <w:pStyle w:val="13"/>
        <w:spacing w:line="360" w:lineRule="auto"/>
        <w:ind w:firstLine="0"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1、可测项目：尿液中的白细胞、酮体、亚硝酸盐、尿胆原、胆红素、蛋白质、葡萄糖、尿比重、隐血、PH、维生素C、肌肝、尿钙、微白蛋白</w:t>
      </w:r>
    </w:p>
    <w:p>
      <w:pPr>
        <w:pStyle w:val="13"/>
        <w:spacing w:line="360" w:lineRule="auto"/>
        <w:ind w:firstLine="0"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2、测量原理：反射光电比色法</w:t>
      </w:r>
    </w:p>
    <w:p>
      <w:pPr>
        <w:pStyle w:val="13"/>
        <w:spacing w:line="360" w:lineRule="auto"/>
        <w:ind w:firstLine="0"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3、测定速度：高速测试，适用于大批量检测</w:t>
      </w:r>
    </w:p>
    <w:p>
      <w:pPr>
        <w:pStyle w:val="13"/>
        <w:spacing w:line="360" w:lineRule="auto"/>
        <w:ind w:firstLine="0"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4、存储功能：可存储9999个标本数据</w:t>
      </w:r>
    </w:p>
    <w:p>
      <w:pPr>
        <w:pStyle w:val="13"/>
        <w:spacing w:line="360" w:lineRule="auto"/>
        <w:ind w:firstLine="0" w:firstLineChars="0"/>
        <w:rPr>
          <w:rFonts w:asciiTheme="minorEastAsia" w:hAnsiTheme="minorEastAsia" w:eastAsiaTheme="minorEastAsia" w:cstheme="minorEastAsia"/>
          <w:bCs/>
          <w:sz w:val="24"/>
        </w:rPr>
      </w:pPr>
      <w:r>
        <w:rPr>
          <w:rFonts w:hint="eastAsia" w:asciiTheme="minorEastAsia" w:hAnsiTheme="minorEastAsia" w:eastAsiaTheme="minorEastAsia" w:cstheme="minorEastAsia"/>
          <w:sz w:val="24"/>
        </w:rPr>
        <w:t>5、配套试纸：</w:t>
      </w:r>
      <w:r>
        <w:rPr>
          <w:rFonts w:hint="eastAsia" w:asciiTheme="minorEastAsia" w:hAnsiTheme="minorEastAsia" w:eastAsiaTheme="minorEastAsia" w:cstheme="minorEastAsia"/>
          <w:bCs/>
          <w:sz w:val="24"/>
        </w:rPr>
        <w:t>URIT14G、11G、10G尿试纸条或仪器试纸选择功能菜单选择的尿试纸条</w:t>
      </w:r>
    </w:p>
    <w:p>
      <w:pPr>
        <w:pStyle w:val="13"/>
        <w:spacing w:line="360" w:lineRule="auto"/>
        <w:ind w:firstLine="0" w:firstLineChars="0"/>
        <w:outlineLvl w:val="0"/>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6、通信端口：RS232标准接口和并口等多种数据输出端口，可与电脑通信</w:t>
      </w:r>
    </w:p>
    <w:p>
      <w:pPr>
        <w:pStyle w:val="13"/>
        <w:spacing w:line="360" w:lineRule="auto"/>
        <w:ind w:firstLine="0" w:firstLineChars="0"/>
        <w:outlineLvl w:val="0"/>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7、工作方式：可选择单次测试或自动连续测试</w:t>
      </w:r>
    </w:p>
    <w:p>
      <w:pPr>
        <w:pStyle w:val="13"/>
        <w:spacing w:line="360" w:lineRule="auto"/>
        <w:ind w:firstLine="0" w:firstLineChars="0"/>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8、显示：液晶触摸屏，中文引导菜单，操作提示信息和测试结果，测试结果用半定量符号和SI国际单位表示</w:t>
      </w:r>
    </w:p>
    <w:p>
      <w:pPr>
        <w:pStyle w:val="13"/>
        <w:spacing w:line="360" w:lineRule="auto"/>
        <w:ind w:firstLine="0" w:firstLineChars="0"/>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9、打印：内置微型</w:t>
      </w:r>
      <w:r>
        <w:rPr>
          <w:rFonts w:hint="eastAsia" w:asciiTheme="minorEastAsia" w:hAnsiTheme="minorEastAsia" w:eastAsiaTheme="minorEastAsia" w:cstheme="minorEastAsia"/>
          <w:sz w:val="24"/>
        </w:rPr>
        <w:t>打印机打印测试结果，可外接（串口或并口）针式打印机</w:t>
      </w:r>
    </w:p>
    <w:p>
      <w:pPr>
        <w:pStyle w:val="13"/>
        <w:spacing w:line="360" w:lineRule="auto"/>
        <w:ind w:firstLine="0" w:firstLineChars="0"/>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10、控制功能：自检、测试、故障判断等由机内微处理器控制</w:t>
      </w:r>
    </w:p>
    <w:p>
      <w:pPr>
        <w:pStyle w:val="13"/>
        <w:spacing w:line="360" w:lineRule="auto"/>
        <w:ind w:firstLine="0" w:firstLineChars="0"/>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11、</w:t>
      </w:r>
      <w:r>
        <w:rPr>
          <w:rFonts w:hint="eastAsia" w:asciiTheme="minorEastAsia" w:hAnsiTheme="minorEastAsia" w:eastAsiaTheme="minorEastAsia" w:cstheme="minorEastAsia"/>
          <w:sz w:val="24"/>
        </w:rPr>
        <w:t>仪器具有自动传送废弃试纸条和自动卸条功能</w:t>
      </w:r>
    </w:p>
    <w:p>
      <w:pPr>
        <w:pStyle w:val="13"/>
        <w:spacing w:line="360" w:lineRule="auto"/>
        <w:ind w:firstLine="0"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bCs/>
          <w:sz w:val="24"/>
        </w:rPr>
        <w:t>12、仪器具有原厂配套的通过国家SFDA认证的尿试纸条及质控液</w:t>
      </w:r>
    </w:p>
    <w:p>
      <w:pPr>
        <w:pStyle w:val="13"/>
        <w:spacing w:line="360" w:lineRule="auto"/>
        <w:ind w:firstLine="0"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13、</w:t>
      </w:r>
      <w:r>
        <w:rPr>
          <w:rFonts w:hint="eastAsia" w:asciiTheme="minorEastAsia" w:hAnsiTheme="minorEastAsia" w:eastAsiaTheme="minorEastAsia" w:cstheme="minorEastAsia"/>
          <w:bCs/>
          <w:sz w:val="24"/>
        </w:rPr>
        <w:t>仪器</w:t>
      </w:r>
      <w:r>
        <w:rPr>
          <w:rFonts w:hint="eastAsia" w:asciiTheme="minorEastAsia" w:hAnsiTheme="minorEastAsia" w:eastAsiaTheme="minorEastAsia" w:cstheme="minorEastAsia"/>
          <w:sz w:val="24"/>
        </w:rPr>
        <w:t>制造商通过ISO9001质量管理体系认证、ISO13485医疗器械质量管理认证、欧盟CE认证</w:t>
      </w:r>
    </w:p>
    <w:p>
      <w:pPr>
        <w:pStyle w:val="13"/>
        <w:spacing w:line="360" w:lineRule="auto"/>
        <w:ind w:firstLine="0" w:firstLineChars="0"/>
        <w:rPr>
          <w:rFonts w:asciiTheme="minorEastAsia" w:hAnsiTheme="minorEastAsia" w:eastAsiaTheme="minorEastAsia" w:cstheme="minorEastAsia"/>
          <w:sz w:val="24"/>
        </w:rPr>
      </w:pPr>
    </w:p>
    <w:p>
      <w:pPr>
        <w:pStyle w:val="13"/>
        <w:spacing w:line="360" w:lineRule="auto"/>
        <w:ind w:left="420" w:firstLine="0" w:firstLineChars="0"/>
        <w:rPr>
          <w:rFonts w:asciiTheme="minorEastAsia" w:hAnsiTheme="minorEastAsia" w:eastAsiaTheme="minorEastAsia" w:cstheme="minorEastAsia"/>
          <w:b/>
          <w:sz w:val="24"/>
        </w:rPr>
      </w:pPr>
      <w:r>
        <w:rPr>
          <w:rFonts w:hint="eastAsia" w:asciiTheme="minorEastAsia" w:hAnsiTheme="minorEastAsia" w:cstheme="minorEastAsia"/>
          <w:b/>
          <w:sz w:val="24"/>
        </w:rPr>
        <w:t>二、</w:t>
      </w:r>
      <w:r>
        <w:rPr>
          <w:rFonts w:hint="eastAsia" w:asciiTheme="minorEastAsia" w:hAnsiTheme="minorEastAsia" w:eastAsiaTheme="minorEastAsia" w:cstheme="minorEastAsia"/>
          <w:b/>
          <w:sz w:val="24"/>
        </w:rPr>
        <w:t>仪器主要特点：</w:t>
      </w:r>
    </w:p>
    <w:p>
      <w:pPr>
        <w:pStyle w:val="13"/>
        <w:numPr>
          <w:numId w:val="0"/>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●十四个测试项目，提供丰富的检测结果，全面的诊断依据</w:t>
      </w:r>
    </w:p>
    <w:p>
      <w:pPr>
        <w:pStyle w:val="13"/>
        <w:numPr>
          <w:numId w:val="0"/>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●独创的试纸条专利技术，提高检测精度，保证测试结果准确</w:t>
      </w:r>
    </w:p>
    <w:p>
      <w:pPr>
        <w:pStyle w:val="13"/>
        <w:numPr>
          <w:numId w:val="0"/>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●自动感应试纸装置，提高操作效率；更直观、更简单的人机交流界面</w:t>
      </w:r>
    </w:p>
    <w:p>
      <w:pPr>
        <w:pStyle w:val="13"/>
        <w:numPr>
          <w:numId w:val="0"/>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●日常维护简单方便，省时、省力、省心</w:t>
      </w:r>
    </w:p>
    <w:p>
      <w:pPr>
        <w:pStyle w:val="13"/>
        <w:numPr>
          <w:numId w:val="0"/>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●开放式通讯接口设计，方便连接尿沉渣分析系统，医院LIS系统</w:t>
      </w:r>
    </w:p>
    <w:p>
      <w:pPr>
        <w:pStyle w:val="13"/>
        <w:numPr>
          <w:numId w:val="0"/>
        </w:numPr>
        <w:spacing w:line="360" w:lineRule="auto"/>
        <w:rPr>
          <w:rFonts w:asciiTheme="minorEastAsia" w:hAnsiTheme="minorEastAsia" w:eastAsiaTheme="minorEastAsia" w:cstheme="minorEastAsia"/>
          <w:sz w:val="24"/>
        </w:rPr>
      </w:pPr>
    </w:p>
    <w:p>
      <w:pPr>
        <w:pStyle w:val="13"/>
        <w:spacing w:line="360" w:lineRule="auto"/>
        <w:ind w:left="420" w:firstLine="0" w:firstLineChars="0"/>
        <w:rPr>
          <w:rFonts w:asciiTheme="minorEastAsia" w:hAnsiTheme="minorEastAsia" w:eastAsiaTheme="minorEastAsia" w:cstheme="minorEastAsia"/>
          <w:b/>
          <w:sz w:val="24"/>
        </w:rPr>
      </w:pPr>
      <w:r>
        <w:rPr>
          <w:rFonts w:hint="eastAsia" w:asciiTheme="minorEastAsia" w:hAnsiTheme="minorEastAsia" w:cstheme="minorEastAsia"/>
          <w:b/>
          <w:sz w:val="24"/>
        </w:rPr>
        <w:t>三、</w:t>
      </w:r>
      <w:r>
        <w:rPr>
          <w:rFonts w:hint="eastAsia" w:asciiTheme="minorEastAsia" w:hAnsiTheme="minorEastAsia" w:eastAsiaTheme="minorEastAsia" w:cstheme="minorEastAsia"/>
          <w:b/>
          <w:sz w:val="24"/>
        </w:rPr>
        <w:t>仪器性能优势：</w:t>
      </w:r>
    </w:p>
    <w:p>
      <w:pPr>
        <w:pStyle w:val="13"/>
        <w:numPr>
          <w:numId w:val="0"/>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bCs/>
          <w:sz w:val="24"/>
        </w:rPr>
        <w:t>独创的专利技术</w:t>
      </w:r>
      <w:r>
        <w:rPr>
          <w:rFonts w:hint="eastAsia" w:asciiTheme="minorEastAsia" w:hAnsiTheme="minorEastAsia" w:eastAsiaTheme="minorEastAsia" w:cstheme="minorEastAsia"/>
          <w:sz w:val="24"/>
        </w:rPr>
        <w:t>——独创的试纸条专利技术，有效地降低外部因素干扰，提高检测精度，保证测试结果准确性</w:t>
      </w:r>
    </w:p>
    <w:p>
      <w:pPr>
        <w:pStyle w:val="13"/>
        <w:numPr>
          <w:numId w:val="0"/>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bCs/>
          <w:sz w:val="24"/>
        </w:rPr>
        <w:t>智能控制</w:t>
      </w:r>
      <w:r>
        <w:rPr>
          <w:rFonts w:hint="eastAsia" w:asciiTheme="minorEastAsia" w:hAnsiTheme="minorEastAsia" w:eastAsiaTheme="minorEastAsia" w:cstheme="minorEastAsia"/>
          <w:sz w:val="24"/>
        </w:rPr>
        <w:t>——实时智能控制系统，红外线感应器自动捕捉试纸条信号；自检、测试、故障判断自动控制；异常结果自动提醒功能</w:t>
      </w:r>
    </w:p>
    <w:p>
      <w:pPr>
        <w:pStyle w:val="13"/>
        <w:numPr>
          <w:numId w:val="0"/>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bCs/>
          <w:sz w:val="24"/>
        </w:rPr>
        <w:t>简约时尚</w:t>
      </w:r>
      <w:r>
        <w:rPr>
          <w:rFonts w:hint="eastAsia" w:asciiTheme="minorEastAsia" w:hAnsiTheme="minorEastAsia" w:eastAsiaTheme="minorEastAsia" w:cstheme="minorEastAsia"/>
          <w:sz w:val="24"/>
        </w:rPr>
        <w:t>——高清触摸液晶屏设计，显示内容清晰全面，实现完全人机对话，彰显简约时尚的主流风范</w:t>
      </w:r>
    </w:p>
    <w:p>
      <w:pPr>
        <w:pStyle w:val="13"/>
        <w:numPr>
          <w:numId w:val="0"/>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bCs/>
          <w:sz w:val="24"/>
        </w:rPr>
        <w:t>无限扩展</w:t>
      </w:r>
      <w:r>
        <w:rPr>
          <w:rFonts w:hint="eastAsia" w:asciiTheme="minorEastAsia" w:hAnsiTheme="minorEastAsia" w:eastAsiaTheme="minorEastAsia" w:cstheme="minorEastAsia"/>
          <w:sz w:val="24"/>
        </w:rPr>
        <w:t>——14项试纸测试，外接工作站选择，面向未来，我们提供更多无限可能</w:t>
      </w:r>
    </w:p>
    <w:p>
      <w:pPr>
        <w:spacing w:line="360" w:lineRule="auto"/>
        <w:rPr>
          <w:b/>
          <w:bCs/>
          <w:sz w:val="28"/>
          <w:szCs w:val="28"/>
        </w:rPr>
      </w:pPr>
    </w:p>
    <w:p>
      <w:pPr>
        <w:ind w:firstLine="281" w:firstLineChars="100"/>
        <w:rPr>
          <w:rFonts w:ascii="宋体" w:hAnsi="宋体"/>
          <w:b/>
          <w:sz w:val="36"/>
          <w:szCs w:val="36"/>
        </w:rPr>
      </w:pPr>
      <w:r>
        <w:rPr>
          <w:rFonts w:hint="eastAsia" w:asciiTheme="majorEastAsia" w:hAnsiTheme="majorEastAsia" w:eastAsiaTheme="majorEastAsia"/>
          <w:b/>
          <w:bCs/>
          <w:sz w:val="28"/>
          <w:szCs w:val="28"/>
        </w:rPr>
        <w:t>(4)</w:t>
      </w:r>
      <w:r>
        <w:rPr>
          <w:rFonts w:hint="eastAsia" w:ascii="宋体" w:hAnsi="宋体"/>
          <w:b/>
          <w:sz w:val="36"/>
          <w:szCs w:val="36"/>
        </w:rPr>
        <w:t xml:space="preserve"> 全自动生化分析仪  </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▲1、检测速度：生化比色分析恒速：800 测试/小时,可选配ISE模块; </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2、分析方法：具有终点法、动力学法、固定时间法；</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3、同时在线分析项目：≥180个</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 试剂位: ≥160个， 具备24小时2-8℃冷藏功能</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5、样本位：≥180个，圆盘式进样，智能灵活； </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 反应位：≥160个；</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7、加样针：≥1支，采用随量跟踪技术，具备水平、垂直防撞功能；</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8、试剂针：≥2支，采用随量跟踪技术，具备水平、垂直防撞功能；</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▲9、最小反应体积≤70ul</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10、光学系统：光栅后分光，波长范围：340-850nm, 16波长。</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11、吸光度线性范围: 0-3.4Abs；</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▲12、温控方式：控温均匀，控温精度要求达到37</w:t>
      </w:r>
      <w:r>
        <w:rPr>
          <w:rFonts w:hint="eastAsia" w:asciiTheme="minorEastAsia" w:hAnsiTheme="minorEastAsia" w:eastAsiaTheme="minorEastAsia" w:cstheme="minorEastAsia"/>
          <w:sz w:val="24"/>
        </w:rPr>
        <w:sym w:font="Symbol" w:char="00B0"/>
      </w:r>
      <w:r>
        <w:rPr>
          <w:rFonts w:hint="eastAsia" w:asciiTheme="minorEastAsia" w:hAnsiTheme="minorEastAsia" w:eastAsiaTheme="minorEastAsia" w:cstheme="minorEastAsia"/>
          <w:sz w:val="24"/>
        </w:rPr>
        <w:t>C</w:t>
      </w:r>
      <w:r>
        <w:rPr>
          <w:rFonts w:hint="eastAsia" w:asciiTheme="minorEastAsia" w:hAnsiTheme="minorEastAsia" w:eastAsiaTheme="minorEastAsia" w:cstheme="minorEastAsia"/>
          <w:sz w:val="24"/>
        </w:rPr>
        <w:sym w:font="Symbol" w:char="00B1"/>
      </w:r>
      <w:r>
        <w:rPr>
          <w:rFonts w:hint="eastAsia" w:asciiTheme="minorEastAsia" w:hAnsiTheme="minorEastAsia" w:eastAsiaTheme="minorEastAsia" w:cstheme="minorEastAsia"/>
          <w:sz w:val="24"/>
        </w:rPr>
        <w:t>0.1</w:t>
      </w:r>
      <w:r>
        <w:rPr>
          <w:rFonts w:hint="eastAsia" w:asciiTheme="minorEastAsia" w:hAnsiTheme="minorEastAsia" w:eastAsiaTheme="minorEastAsia" w:cstheme="minorEastAsia"/>
          <w:sz w:val="24"/>
        </w:rPr>
        <w:sym w:font="Symbol" w:char="00B0"/>
      </w:r>
      <w:r>
        <w:rPr>
          <w:rFonts w:hint="eastAsia" w:asciiTheme="minorEastAsia" w:hAnsiTheme="minorEastAsia" w:eastAsiaTheme="minorEastAsia" w:cstheme="minorEastAsia"/>
          <w:sz w:val="24"/>
        </w:rPr>
        <w:t>C;无需添加任何耗材，需真正免维护免保养；</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13、试剂开放程度：可厂家配套，也可完全开放；</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14、比色杯温水清洗，重复使用，支持单个比色杯更换；</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15、清洗系统：全自动温水清洗反应杯；</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▲16、运行中装载试剂：仪器测试进行中支持试剂在线更换，节省操作时间；</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17、交叉污染率：&lt;0.08%</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18、耗材提醒：具有耗材余量不足提醒, 每日耗材检查及提醒，每批耗材检查及提醒</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▲19、支持全血糖化上机，无需手工预处理</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▲20、支持一个项目装载多瓶试剂的功能</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21、参数导入：具有参数导入、校准参数导入功能</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22、 支持定时休眠与唤醒功能；</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23、质控功能：可做三个水平的质控，自动描绘多种质控图；质控测试可选择在样本测试前、中、后，设置灵活</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24、售后服务：免费安装、调试、人员培训；厂家在省内有分公司或直属注册的售后服务机构（提供相关营业执照原件）；</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▲25、产品认证要求：具备并提供CE认证，同时须提供ISO9001认证、ISO13485认证，同系列产品通过FDA认证</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▲26、系统配套性要求：具有原厂配套试剂、校准品和质控品；试剂配套项目≥55项，校准品≥32项,（要求提供项目注册证明文件）。</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▲27、生产厂家具有通过CNAS认证的标准化实验室，完成对校准品的准确赋值，保证结果的准确。（要求提供CNAS认证证明文件）</w:t>
      </w:r>
    </w:p>
    <w:p>
      <w:pPr>
        <w:pStyle w:val="2"/>
      </w:pPr>
    </w:p>
    <w:p>
      <w:pPr>
        <w:pStyle w:val="13"/>
        <w:numPr>
          <w:numId w:val="0"/>
        </w:numPr>
        <w:spacing w:line="360" w:lineRule="auto"/>
        <w:ind w:left="284" w:leftChars="0"/>
        <w:rPr>
          <w:rFonts w:hint="eastAsia" w:ascii="宋体" w:hAnsi="宋体" w:eastAsia="仿宋_GB2312" w:cstheme="minorBidi"/>
          <w:b/>
          <w:kern w:val="2"/>
          <w:sz w:val="36"/>
          <w:szCs w:val="36"/>
          <w:lang w:val="zh-CN" w:eastAsia="zh-CN" w:bidi="ar-SA"/>
        </w:rPr>
      </w:pPr>
      <w:r>
        <w:rPr>
          <w:rFonts w:hint="eastAsia" w:ascii="宋体" w:hAnsi="宋体" w:eastAsia="仿宋_GB2312" w:cstheme="minorBidi"/>
          <w:b/>
          <w:kern w:val="2"/>
          <w:sz w:val="36"/>
          <w:szCs w:val="36"/>
          <w:lang w:val="en-US" w:eastAsia="zh-CN" w:bidi="ar-SA"/>
        </w:rPr>
        <w:t>(5) 全自动化学发光免疫分析仪</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lang w:val="zh-CN"/>
        </w:rPr>
        <w:t>方法学:辉光型化学发光法</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lang w:val="zh-CN"/>
        </w:rPr>
        <w:t>样本管:具有多种规格原始管上样功能，系统条形码功能。</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lang w:val="zh-CN"/>
        </w:rPr>
        <w:t>▲样本位:采用轨道进样，可放置60个样本，随时连续进样，支持自动重测</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lang w:val="zh-CN"/>
        </w:rPr>
        <w:t>急诊进样系统:具有急诊通道，急诊样本，优先处理</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lang w:val="zh-CN"/>
        </w:rPr>
        <w:t>样本整体性控制:基于压力传感技术的液面感应，堵塞检测，空吸检测，样本量不足标记和管理</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lang w:val="zh-CN"/>
        </w:rPr>
        <w:t>样本管理:具有在机稀释，自动重检功能</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lang w:val="zh-CN"/>
        </w:rPr>
        <w:t>▲检测速度:测试速度180测试/小时</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rPr>
        <w:t>▲</w:t>
      </w:r>
      <w:r>
        <w:rPr>
          <w:rFonts w:hint="eastAsia" w:ascii="宋体" w:hAnsi="宋体"/>
          <w:sz w:val="24"/>
          <w:szCs w:val="24"/>
          <w:lang w:val="zh-CN"/>
        </w:rPr>
        <w:t>试剂位:具有25个冷藏试剂位，2-8℃不间断冷藏</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lang w:val="zh-CN"/>
        </w:rPr>
        <w:t>试剂完整性控制:条形码试剂鉴别，自动存量追踪和标记，校准有效性追踪和标记，试剂有效期追踪和标记</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rPr>
        <w:t>▲</w:t>
      </w:r>
      <w:r>
        <w:rPr>
          <w:rFonts w:hint="eastAsia" w:ascii="宋体" w:hAnsi="宋体"/>
          <w:sz w:val="24"/>
          <w:szCs w:val="24"/>
          <w:lang w:val="zh-CN"/>
        </w:rPr>
        <w:t>反应杯:</w:t>
      </w:r>
      <w:r>
        <w:rPr>
          <w:rFonts w:hint="eastAsia"/>
          <w:sz w:val="24"/>
          <w:szCs w:val="24"/>
        </w:rPr>
        <w:t>独立的单个反应杯设计，</w:t>
      </w:r>
      <w:r>
        <w:rPr>
          <w:rFonts w:hint="eastAsia" w:ascii="宋体" w:hAnsi="宋体"/>
          <w:sz w:val="24"/>
          <w:szCs w:val="24"/>
          <w:lang w:val="zh-CN"/>
        </w:rPr>
        <w:t>一次性可在机放置176个反应杯，并可随时添加</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lang w:val="zh-CN"/>
        </w:rPr>
        <w:t>持续运行能力:可以24小时开机</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lang w:val="zh-CN"/>
        </w:rPr>
        <w:t>检测项目:≥60种试剂项目，具有甲状腺功能、性腺激素、传染病等检测</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rPr>
        <w:t>▲</w:t>
      </w:r>
      <w:r>
        <w:rPr>
          <w:rFonts w:hint="eastAsia" w:ascii="宋体" w:hAnsi="宋体"/>
          <w:sz w:val="24"/>
          <w:szCs w:val="24"/>
          <w:lang w:val="zh-CN"/>
        </w:rPr>
        <w:t>促甲状腺激素（TSH）:为第三代，功能灵敏度≦0.02mIU/L</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lang w:val="zh-CN"/>
        </w:rPr>
        <w:t>▲传染病项目：HIV第四代、乙肝五项产品套餐通过欧盟CE List A认证（提供证明文件）</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lang w:val="zh-CN"/>
        </w:rPr>
        <w:t>定标要求:内置主曲线，二维码识别，三点校准</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lang w:val="zh-CN"/>
        </w:rPr>
        <w:t>▲校准要求:采用独立注册的原厂校准品，满足溯源性要求（提供溯源性文件）</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lang w:val="zh-CN"/>
        </w:rPr>
        <w:t>用户界面:17寸高分别率彩色触摸显示器，Windows10（64bit）操作系统,中文操作界面</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lang w:val="zh-CN"/>
        </w:rPr>
        <w:t>网络连接能力:有单向、双向连接外部Lis软件或网络的能力</w:t>
      </w:r>
    </w:p>
    <w:p>
      <w:pPr>
        <w:pStyle w:val="13"/>
        <w:numPr>
          <w:ilvl w:val="0"/>
          <w:numId w:val="4"/>
        </w:numPr>
        <w:spacing w:line="360" w:lineRule="auto"/>
        <w:ind w:left="709" w:hanging="425" w:firstLineChars="0"/>
        <w:rPr>
          <w:rFonts w:ascii="宋体" w:hAnsi="宋体"/>
          <w:sz w:val="24"/>
          <w:szCs w:val="24"/>
          <w:lang w:val="zh-CN"/>
        </w:rPr>
      </w:pPr>
      <w:r>
        <w:rPr>
          <w:rFonts w:hint="eastAsia" w:ascii="宋体" w:hAnsi="宋体"/>
          <w:sz w:val="24"/>
          <w:szCs w:val="24"/>
          <w:lang w:val="zh-CN"/>
        </w:rPr>
        <w:t>SFDA认证情况:仪器及试剂、相关耗品等都具有SFDA认证</w:t>
      </w:r>
    </w:p>
    <w:p>
      <w:pPr>
        <w:pStyle w:val="13"/>
        <w:numPr>
          <w:ilvl w:val="0"/>
          <w:numId w:val="4"/>
        </w:numPr>
        <w:spacing w:line="360" w:lineRule="auto"/>
        <w:ind w:left="709" w:hanging="425" w:firstLineChars="0"/>
        <w:rPr>
          <w:rFonts w:ascii="宋体" w:hAnsi="宋体"/>
          <w:sz w:val="24"/>
          <w:szCs w:val="24"/>
        </w:rPr>
      </w:pPr>
      <w:r>
        <w:rPr>
          <w:rFonts w:hint="eastAsia" w:ascii="宋体" w:hAnsi="宋体"/>
          <w:sz w:val="24"/>
          <w:szCs w:val="24"/>
          <w:lang w:val="zh-CN"/>
        </w:rPr>
        <w:t>操作及保养:操作简便，每天保养工作简单，随时可以待机</w:t>
      </w:r>
    </w:p>
    <w:p>
      <w:pPr>
        <w:pStyle w:val="13"/>
        <w:spacing w:line="360" w:lineRule="auto"/>
        <w:ind w:left="709" w:firstLine="0" w:firstLineChars="0"/>
        <w:rPr>
          <w:rFonts w:hint="eastAsia" w:asciiTheme="majorEastAsia" w:hAnsiTheme="majorEastAsia" w:eastAsiaTheme="majorEastAsia"/>
          <w:b/>
          <w:bCs/>
          <w:sz w:val="28"/>
          <w:szCs w:val="28"/>
        </w:rPr>
      </w:pPr>
    </w:p>
    <w:p>
      <w:pPr>
        <w:pStyle w:val="13"/>
        <w:spacing w:line="360" w:lineRule="auto"/>
        <w:ind w:left="709" w:firstLine="0" w:firstLineChars="0"/>
        <w:rPr>
          <w:b/>
          <w:bCs/>
          <w:sz w:val="28"/>
          <w:szCs w:val="28"/>
        </w:rPr>
      </w:pPr>
      <w:r>
        <w:rPr>
          <w:rFonts w:hint="eastAsia" w:asciiTheme="majorEastAsia" w:hAnsiTheme="majorEastAsia" w:eastAsiaTheme="majorEastAsia"/>
          <w:b/>
          <w:bCs/>
          <w:sz w:val="28"/>
          <w:szCs w:val="28"/>
        </w:rPr>
        <w:t>(6)病床</w:t>
      </w:r>
    </w:p>
    <w:p>
      <w:pPr>
        <w:widowControl/>
        <w:spacing w:line="360" w:lineRule="auto"/>
        <w:jc w:val="left"/>
        <w:rPr>
          <w:rFonts w:asciiTheme="minorEastAsia" w:hAnsiTheme="minorEastAsia" w:eastAsiaTheme="minorEastAsia" w:cstheme="minorEastAsia"/>
          <w:kern w:val="0"/>
          <w:sz w:val="24"/>
          <w:highlight w:val="yellow"/>
        </w:rPr>
      </w:pPr>
      <w:r>
        <w:rPr>
          <w:rFonts w:hint="eastAsia" w:asciiTheme="minorEastAsia" w:hAnsiTheme="minorEastAsia" w:eastAsiaTheme="minorEastAsia" w:cstheme="minorEastAsia"/>
          <w:kern w:val="0"/>
          <w:sz w:val="24"/>
        </w:rPr>
        <w:t>一、产品规格：2120*960*500mm</w:t>
      </w:r>
      <w:r>
        <w:rPr>
          <w:rFonts w:hint="eastAsia" w:asciiTheme="minorEastAsia" w:hAnsiTheme="minorEastAsia" w:eastAsiaTheme="minorEastAsia" w:cstheme="minorEastAsia"/>
          <w:kern w:val="0"/>
          <w:sz w:val="24"/>
        </w:rPr>
        <w:br w:type="textWrapping"/>
      </w:r>
      <w:r>
        <w:rPr>
          <w:rFonts w:hint="eastAsia" w:asciiTheme="minorEastAsia" w:hAnsiTheme="minorEastAsia" w:eastAsiaTheme="minorEastAsia" w:cstheme="minorEastAsia"/>
          <w:kern w:val="0"/>
          <w:sz w:val="24"/>
        </w:rPr>
        <w:t>二、产品功能：背部可升降角度：0-80°±5°，腿部可升降角度：0-45°±5°</w:t>
      </w:r>
      <w:r>
        <w:rPr>
          <w:rFonts w:hint="eastAsia" w:asciiTheme="minorEastAsia" w:hAnsiTheme="minorEastAsia" w:eastAsiaTheme="minorEastAsia" w:cstheme="minorEastAsia"/>
          <w:kern w:val="0"/>
          <w:sz w:val="24"/>
        </w:rPr>
        <w:br w:type="textWrapping"/>
      </w:r>
      <w:r>
        <w:rPr>
          <w:rFonts w:hint="eastAsia" w:asciiTheme="minorEastAsia" w:hAnsiTheme="minorEastAsia" w:eastAsiaTheme="minorEastAsia" w:cstheme="minorEastAsia"/>
          <w:kern w:val="0"/>
          <w:sz w:val="24"/>
        </w:rPr>
        <w:t>三、材质说明：</w:t>
      </w:r>
      <w:r>
        <w:rPr>
          <w:rFonts w:hint="eastAsia" w:asciiTheme="minorEastAsia" w:hAnsiTheme="minorEastAsia" w:eastAsiaTheme="minorEastAsia" w:cstheme="minorEastAsia"/>
          <w:kern w:val="0"/>
          <w:sz w:val="24"/>
        </w:rPr>
        <w:br w:type="textWrapping"/>
      </w:r>
      <w:r>
        <w:rPr>
          <w:rFonts w:hint="eastAsia" w:asciiTheme="minorEastAsia" w:hAnsiTheme="minorEastAsia" w:eastAsiaTheme="minorEastAsia" w:cstheme="minorEastAsia"/>
          <w:kern w:val="0"/>
          <w:sz w:val="24"/>
        </w:rPr>
        <w:t>1、 床体可载重≥250kg；高低动态载重≥170kg. </w:t>
      </w:r>
      <w:r>
        <w:rPr>
          <w:rFonts w:hint="eastAsia" w:asciiTheme="minorEastAsia" w:hAnsiTheme="minorEastAsia" w:eastAsiaTheme="minorEastAsia" w:cstheme="minorEastAsia"/>
          <w:kern w:val="0"/>
          <w:sz w:val="24"/>
        </w:rPr>
        <w:br w:type="textWrapping"/>
      </w:r>
      <w:r>
        <w:rPr>
          <w:rFonts w:hint="eastAsia" w:asciiTheme="minorEastAsia" w:hAnsiTheme="minorEastAsia" w:eastAsiaTheme="minorEastAsia" w:cstheme="minorEastAsia"/>
          <w:kern w:val="0"/>
          <w:sz w:val="24"/>
        </w:rPr>
        <w:t>2、 床框采用30×60×1.5㎜焊管；床背板采用双支撑式底梁坚实耐用,承受1500N压力不变形；床面板采用1.2mm优质冷轧钢材一体冲压成型，整床面板带有透气孔，透气性强。整床采用进口机器人焊接，精度高、强度高、金属熔深大。</w:t>
      </w:r>
      <w:r>
        <w:rPr>
          <w:rFonts w:hint="eastAsia" w:asciiTheme="minorEastAsia" w:hAnsiTheme="minorEastAsia" w:eastAsiaTheme="minorEastAsia" w:cstheme="minorEastAsia"/>
          <w:kern w:val="0"/>
          <w:sz w:val="24"/>
        </w:rPr>
        <w:br w:type="textWrapping"/>
      </w:r>
      <w:r>
        <w:rPr>
          <w:rFonts w:hint="eastAsia" w:asciiTheme="minorEastAsia" w:hAnsiTheme="minorEastAsia" w:eastAsiaTheme="minorEastAsia" w:cstheme="minorEastAsia"/>
          <w:kern w:val="0"/>
          <w:sz w:val="24"/>
        </w:rPr>
        <w:t>3、 金属表面采用自有喷涂线，经电泳静电喷塑处理工艺，抗酸碱腐蚀，防霉，耐褪色。漆粉采用优质漆粉，厚度均达70μm以上，防刮伤、防锈、抗酸碱、耐腐蚀。附着力达到一级，更好的保护患者的身体健康。</w:t>
      </w:r>
      <w:r>
        <w:rPr>
          <w:rFonts w:hint="eastAsia" w:asciiTheme="minorEastAsia" w:hAnsiTheme="minorEastAsia" w:eastAsiaTheme="minorEastAsia" w:cstheme="minorEastAsia"/>
          <w:kern w:val="0"/>
          <w:sz w:val="24"/>
        </w:rPr>
        <w:br w:type="textWrapping"/>
      </w:r>
      <w:r>
        <w:rPr>
          <w:rFonts w:hint="eastAsia" w:asciiTheme="minorEastAsia" w:hAnsiTheme="minorEastAsia" w:eastAsiaTheme="minorEastAsia" w:cstheme="minorEastAsia"/>
          <w:kern w:val="0"/>
          <w:sz w:val="24"/>
        </w:rPr>
        <w:t>4、 床头尾板弧线形设计，高低床头尾板，床头板比床尾板高80mm高低搭配；采用全新进口ABS ；中间带有防火装饰美化板；有日式床头尾板挂耳装置，稳定可靠，可兼作CPR功能，ABS开关自动锁定装置，快速拆卸，满足临床急救需求。</w:t>
      </w:r>
      <w:r>
        <w:rPr>
          <w:rFonts w:hint="eastAsia" w:asciiTheme="minorEastAsia" w:hAnsiTheme="minorEastAsia" w:eastAsiaTheme="minorEastAsia" w:cstheme="minorEastAsia"/>
          <w:kern w:val="0"/>
          <w:sz w:val="24"/>
        </w:rPr>
        <w:br w:type="textWrapping"/>
      </w:r>
      <w:r>
        <w:rPr>
          <w:rFonts w:hint="eastAsia" w:asciiTheme="minorEastAsia" w:hAnsiTheme="minorEastAsia" w:eastAsiaTheme="minorEastAsia" w:cstheme="minorEastAsia"/>
          <w:kern w:val="0"/>
          <w:sz w:val="24"/>
        </w:rPr>
        <w:t>5、 脚轮采用进口材质脚轮，全封闭自润滑双面轴承，不需加油护理，静音耐磨、无噪音、防酸耐碱、容易维修，对角刹车功能。</w:t>
      </w:r>
    </w:p>
    <w:p>
      <w:pPr>
        <w:widowControl/>
        <w:numPr>
          <w:ilvl w:val="0"/>
          <w:numId w:val="5"/>
        </w:numPr>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kern w:val="0"/>
          <w:sz w:val="24"/>
        </w:rPr>
        <w:t>ABS折叠可伸缩摇把，丝杆带有极限保护装置。</w:t>
      </w:r>
      <w:r>
        <w:rPr>
          <w:rFonts w:hint="eastAsia" w:asciiTheme="minorEastAsia" w:hAnsiTheme="minorEastAsia" w:eastAsiaTheme="minorEastAsia" w:cstheme="minorEastAsia"/>
          <w:kern w:val="0"/>
          <w:sz w:val="24"/>
        </w:rPr>
        <w:br w:type="textWrapping"/>
      </w:r>
      <w:r>
        <w:rPr>
          <w:rFonts w:hint="eastAsia" w:asciiTheme="minorEastAsia" w:hAnsiTheme="minorEastAsia" w:eastAsiaTheme="minorEastAsia" w:cstheme="minorEastAsia"/>
          <w:kern w:val="0"/>
          <w:sz w:val="24"/>
        </w:rPr>
        <w:t>7、床身四角部位有四个点滴架插孔，方便不同体位的输液使用。</w:t>
      </w:r>
      <w:r>
        <w:rPr>
          <w:rFonts w:hint="eastAsia" w:asciiTheme="minorEastAsia" w:hAnsiTheme="minorEastAsia" w:eastAsiaTheme="minorEastAsia" w:cstheme="minorEastAsia"/>
          <w:kern w:val="0"/>
          <w:sz w:val="24"/>
        </w:rPr>
        <w:br w:type="textWrapping"/>
      </w:r>
      <w:r>
        <w:rPr>
          <w:rFonts w:hint="eastAsia" w:asciiTheme="minorEastAsia" w:hAnsiTheme="minorEastAsia" w:eastAsiaTheme="minorEastAsia" w:cstheme="minorEastAsia"/>
          <w:kern w:val="0"/>
          <w:sz w:val="24"/>
        </w:rPr>
        <w:t>8、两边带有4个引流挂钩，可悬挂药剂袋、引流袋，也可用于放置输液架。</w:t>
      </w:r>
      <w:r>
        <w:rPr>
          <w:rFonts w:hint="eastAsia" w:asciiTheme="minorEastAsia" w:hAnsiTheme="minorEastAsia" w:eastAsiaTheme="minorEastAsia" w:cstheme="minorEastAsia"/>
          <w:kern w:val="0"/>
          <w:sz w:val="24"/>
        </w:rPr>
        <w:br w:type="textWrapping"/>
      </w:r>
      <w:r>
        <w:rPr>
          <w:rFonts w:hint="eastAsia" w:asciiTheme="minorEastAsia" w:hAnsiTheme="minorEastAsia" w:eastAsiaTheme="minorEastAsia" w:cstheme="minorEastAsia"/>
          <w:kern w:val="0"/>
          <w:sz w:val="24"/>
        </w:rPr>
        <w:t>9、六档铝合金折叠护栏，护栏高度350mm。</w:t>
      </w:r>
    </w:p>
    <w:p>
      <w:pPr>
        <w:widowControl/>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10、病床参考图：</w:t>
      </w:r>
    </w:p>
    <w:p>
      <w:pPr>
        <w:spacing w:line="360" w:lineRule="auto"/>
        <w:rPr>
          <w:rFonts w:ascii="宋体" w:hAnsi="宋体" w:cs="宋体"/>
          <w:kern w:val="0"/>
          <w:sz w:val="24"/>
        </w:rPr>
      </w:pPr>
      <w:r>
        <w:drawing>
          <wp:inline distT="0" distB="0" distL="114300" distR="114300">
            <wp:extent cx="3343275" cy="1248410"/>
            <wp:effectExtent l="0" t="0" r="9525" b="8890"/>
            <wp:docPr id="3" name="图片 3" descr="15736996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1573699602(1)"/>
                    <pic:cNvPicPr>
                      <a:picLocks noChangeAspect="1"/>
                    </pic:cNvPicPr>
                  </pic:nvPicPr>
                  <pic:blipFill>
                    <a:blip r:embed="rId4" cstate="print"/>
                    <a:stretch>
                      <a:fillRect/>
                    </a:stretch>
                  </pic:blipFill>
                  <pic:spPr>
                    <a:xfrm>
                      <a:off x="0" y="0"/>
                      <a:ext cx="3343275" cy="1248410"/>
                    </a:xfrm>
                    <a:prstGeom prst="rect">
                      <a:avLst/>
                    </a:prstGeom>
                  </pic:spPr>
                </pic:pic>
              </a:graphicData>
            </a:graphic>
          </wp:inline>
        </w:drawing>
      </w:r>
      <w:r>
        <w:drawing>
          <wp:anchor distT="0" distB="0" distL="114300" distR="114300" simplePos="0" relativeHeight="251659264" behindDoc="0" locked="0" layoutInCell="1" allowOverlap="1">
            <wp:simplePos x="0" y="0"/>
            <wp:positionH relativeFrom="column">
              <wp:posOffset>2771775</wp:posOffset>
            </wp:positionH>
            <wp:positionV relativeFrom="paragraph">
              <wp:posOffset>7928610</wp:posOffset>
            </wp:positionV>
            <wp:extent cx="2710180" cy="1536065"/>
            <wp:effectExtent l="0" t="0" r="13970" b="6985"/>
            <wp:wrapNone/>
            <wp:docPr id="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pic:cNvPicPr>
                      <a:picLocks noChangeAspect="1"/>
                    </pic:cNvPicPr>
                  </pic:nvPicPr>
                  <pic:blipFill>
                    <a:blip r:embed="rId5" cstate="print"/>
                    <a:stretch>
                      <a:fillRect/>
                    </a:stretch>
                  </pic:blipFill>
                  <pic:spPr>
                    <a:xfrm>
                      <a:off x="0" y="0"/>
                      <a:ext cx="2710180" cy="1536065"/>
                    </a:xfrm>
                    <a:prstGeom prst="rect">
                      <a:avLst/>
                    </a:prstGeom>
                    <a:noFill/>
                    <a:ln>
                      <a:noFill/>
                    </a:ln>
                  </pic:spPr>
                </pic:pic>
              </a:graphicData>
            </a:graphic>
          </wp:anchor>
        </w:drawing>
      </w:r>
      <w:r>
        <w:drawing>
          <wp:anchor distT="0" distB="0" distL="114300" distR="114300" simplePos="0" relativeHeight="251658240" behindDoc="0" locked="0" layoutInCell="1" allowOverlap="1">
            <wp:simplePos x="0" y="0"/>
            <wp:positionH relativeFrom="column">
              <wp:posOffset>2619375</wp:posOffset>
            </wp:positionH>
            <wp:positionV relativeFrom="paragraph">
              <wp:posOffset>7776210</wp:posOffset>
            </wp:positionV>
            <wp:extent cx="2710180" cy="1536065"/>
            <wp:effectExtent l="0" t="0" r="13970" b="6985"/>
            <wp:wrapNone/>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5" cstate="print"/>
                    <a:stretch>
                      <a:fillRect/>
                    </a:stretch>
                  </pic:blipFill>
                  <pic:spPr>
                    <a:xfrm>
                      <a:off x="0" y="0"/>
                      <a:ext cx="2710180" cy="1536065"/>
                    </a:xfrm>
                    <a:prstGeom prst="rect">
                      <a:avLst/>
                    </a:prstGeom>
                    <a:noFill/>
                    <a:ln>
                      <a:noFill/>
                    </a:ln>
                  </pic:spPr>
                </pic:pic>
              </a:graphicData>
            </a:graphic>
          </wp:anchor>
        </w:drawing>
      </w:r>
      <w:r>
        <w:rPr>
          <w:rFonts w:ascii="宋体" w:hAnsi="宋体" w:cs="宋体"/>
          <w:kern w:val="0"/>
          <w:sz w:val="24"/>
        </w:rPr>
        <w:br w:type="textWrapping"/>
      </w:r>
    </w:p>
    <w:p>
      <w:pPr>
        <w:spacing w:line="360" w:lineRule="auto"/>
        <w:rPr>
          <w:rFonts w:ascii="宋体" w:hAnsi="宋体" w:cs="宋体"/>
          <w:kern w:val="0"/>
          <w:sz w:val="24"/>
        </w:rPr>
      </w:pPr>
    </w:p>
    <w:p>
      <w:pPr>
        <w:spacing w:line="360" w:lineRule="auto"/>
        <w:rPr>
          <w:b/>
          <w:bCs/>
          <w:sz w:val="28"/>
          <w:szCs w:val="28"/>
        </w:rPr>
      </w:pPr>
      <w:r>
        <w:rPr>
          <w:rFonts w:hint="eastAsia"/>
          <w:b/>
          <w:bCs/>
          <w:sz w:val="28"/>
          <w:szCs w:val="28"/>
        </w:rPr>
        <w:t>（7）0-8度药品疫苗冰箱</w:t>
      </w:r>
    </w:p>
    <w:p>
      <w:pPr>
        <w:spacing w:line="360" w:lineRule="auto"/>
        <w:ind w:right="-105" w:rightChars="-50"/>
        <w:textAlignment w:val="baseline"/>
        <w:rPr>
          <w:rFonts w:asciiTheme="minorEastAsia" w:hAnsiTheme="minorEastAsia" w:eastAsiaTheme="minorEastAsia" w:cstheme="minorEastAsia"/>
          <w:kern w:val="24"/>
          <w:sz w:val="24"/>
        </w:rPr>
      </w:pPr>
      <w:bookmarkStart w:id="1" w:name="_Hlk523470087"/>
      <w:r>
        <w:rPr>
          <w:rFonts w:hint="eastAsia" w:asciiTheme="minorEastAsia" w:hAnsiTheme="minorEastAsia" w:eastAsiaTheme="minorEastAsia" w:cstheme="minorEastAsia"/>
          <w:kern w:val="24"/>
          <w:sz w:val="24"/>
        </w:rPr>
        <w:t>1.样式：立式。</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2.容积：306L。</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3.净重：104kg。</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4.额定功率：240W。</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5.耗电量：3.9kW.h/24h。</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6.噪音值：50dB。</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7.气候类型：</w:t>
      </w:r>
      <w:r>
        <w:rPr>
          <w:rFonts w:hint="eastAsia" w:asciiTheme="minorEastAsia" w:hAnsiTheme="minorEastAsia" w:eastAsiaTheme="minorEastAsia" w:cstheme="minorEastAsia"/>
          <w:kern w:val="0"/>
          <w:sz w:val="24"/>
        </w:rPr>
        <w:t>SN/N。</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8.</w:t>
      </w:r>
      <w:r>
        <w:rPr>
          <w:rFonts w:hint="eastAsia" w:asciiTheme="minorEastAsia" w:hAnsiTheme="minorEastAsia" w:eastAsiaTheme="minorEastAsia" w:cstheme="minorEastAsia"/>
          <w:bCs/>
          <w:sz w:val="24"/>
        </w:rPr>
        <w:t>制冷方式</w:t>
      </w:r>
      <w:r>
        <w:rPr>
          <w:rFonts w:hint="eastAsia" w:asciiTheme="minorEastAsia" w:hAnsiTheme="minorEastAsia" w:eastAsiaTheme="minorEastAsia" w:cstheme="minorEastAsia"/>
          <w:sz w:val="24"/>
        </w:rPr>
        <w:t>：风冷。</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9.箱内温度：2℃～8℃，</w:t>
      </w:r>
      <w:r>
        <w:rPr>
          <w:rFonts w:hint="eastAsia" w:asciiTheme="minorEastAsia" w:hAnsiTheme="minorEastAsia" w:eastAsiaTheme="minorEastAsia" w:cstheme="minorEastAsia"/>
          <w:kern w:val="24"/>
          <w:sz w:val="24"/>
        </w:rPr>
        <w:t>波动度5℃±1.5℃。</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10.工作条件：环境温度10～32℃，电源220V/50Hz。</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11.外部尺寸（宽*深*高）：640*580*1920（mm）。</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12.内部尺寸（宽*深*高）：540*425*1380（mm）。</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13.外部材料：喷涂钢板。</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14.内部材料：喷涂钢板。</w:t>
      </w:r>
    </w:p>
    <w:p>
      <w:pPr>
        <w:spacing w:line="360" w:lineRule="auto"/>
        <w:ind w:right="-105" w:rightChars="-50"/>
        <w:textAlignment w:val="baseline"/>
        <w:rPr>
          <w:rFonts w:asciiTheme="minorEastAsia" w:hAnsiTheme="minorEastAsia" w:eastAsiaTheme="minorEastAsia" w:cstheme="minorEastAsia"/>
          <w:kern w:val="24"/>
          <w:sz w:val="24"/>
        </w:rPr>
      </w:pPr>
      <w:bookmarkStart w:id="2" w:name="_Hlk523470544"/>
      <w:r>
        <w:rPr>
          <w:rFonts w:hint="eastAsia" w:asciiTheme="minorEastAsia" w:hAnsiTheme="minorEastAsia" w:eastAsiaTheme="minorEastAsia" w:cstheme="minorEastAsia"/>
          <w:kern w:val="24"/>
          <w:sz w:val="24"/>
        </w:rPr>
        <w:t>15.隔热层：</w:t>
      </w:r>
      <w:r>
        <w:rPr>
          <w:rFonts w:hint="eastAsia" w:asciiTheme="minorEastAsia" w:hAnsiTheme="minorEastAsia" w:eastAsiaTheme="minorEastAsia" w:cstheme="minorEastAsia"/>
          <w:sz w:val="24"/>
        </w:rPr>
        <w:t>无CFC高密度聚氨酯发泡。</w:t>
      </w:r>
    </w:p>
    <w:bookmarkEnd w:id="2"/>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16.外门数量：1扇。</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17.门体结构：双层中空钢化玻璃门，中间充惰性气体；带电加热膜，防止表面凝露，展示效果更佳。</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kern w:val="24"/>
          <w:sz w:val="24"/>
        </w:rPr>
        <w:t>18.网架：</w:t>
      </w:r>
      <w:r>
        <w:rPr>
          <w:rFonts w:hint="eastAsia" w:asciiTheme="minorEastAsia" w:hAnsiTheme="minorEastAsia" w:eastAsiaTheme="minorEastAsia" w:cstheme="minorEastAsia"/>
          <w:sz w:val="24"/>
        </w:rPr>
        <w:t>4层，可调高度，浸塑材质，带标识条。</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19.脚轮：4个脚轮，其中2个万向轮带琐止设计，用户可根据需要移动箱体；带2个调平脚，可固定箱体。</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20.测试孔：1个，方便安装温湿度记录仪。</w:t>
      </w:r>
    </w:p>
    <w:p>
      <w:pPr>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21.冷凝器：强制风冷散热。</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22.蒸发器：铜管翅片式蒸发器。</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23.风机类型：贯流风机。</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24.制冷剂：采用绿色无氟制冷剂。</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25.压缩机：进口品牌压缩机，数量1个。</w:t>
      </w:r>
    </w:p>
    <w:p>
      <w:pPr>
        <w:spacing w:line="360" w:lineRule="auto"/>
        <w:rPr>
          <w:rFonts w:asciiTheme="minorEastAsia" w:hAnsiTheme="minorEastAsia" w:eastAsiaTheme="minorEastAsia" w:cstheme="minorEastAsia"/>
          <w:sz w:val="24"/>
        </w:rPr>
      </w:pPr>
      <w:bookmarkStart w:id="3" w:name="_Hlk523409766"/>
      <w:bookmarkStart w:id="4" w:name="_Hlk523843538"/>
      <w:r>
        <w:rPr>
          <w:rFonts w:hint="eastAsia" w:asciiTheme="minorEastAsia" w:hAnsiTheme="minorEastAsia" w:eastAsiaTheme="minorEastAsia" w:cstheme="minorEastAsia"/>
          <w:kern w:val="0"/>
          <w:sz w:val="24"/>
        </w:rPr>
        <w:t>26.风道设计：循环风冷背吹技术，避免因储存物品的阻挡导致通风不畅或温度不均匀</w:t>
      </w:r>
      <w:r>
        <w:rPr>
          <w:rFonts w:hint="eastAsia" w:asciiTheme="minorEastAsia" w:hAnsiTheme="minorEastAsia" w:eastAsiaTheme="minorEastAsia" w:cstheme="minorEastAsia"/>
          <w:sz w:val="24"/>
        </w:rPr>
        <w:t>。</w:t>
      </w:r>
    </w:p>
    <w:p>
      <w:pPr>
        <w:spacing w:line="360" w:lineRule="auto"/>
        <w:rPr>
          <w:rFonts w:asciiTheme="minorEastAsia" w:hAnsiTheme="minorEastAsia" w:eastAsiaTheme="minorEastAsia" w:cstheme="minorEastAsia"/>
          <w:kern w:val="0"/>
          <w:sz w:val="24"/>
        </w:rPr>
      </w:pPr>
      <w:bookmarkStart w:id="5" w:name="_Hlk523398592"/>
      <w:r>
        <w:rPr>
          <w:rFonts w:hint="eastAsia" w:asciiTheme="minorEastAsia" w:hAnsiTheme="minorEastAsia" w:eastAsiaTheme="minorEastAsia" w:cstheme="minorEastAsia"/>
          <w:sz w:val="24"/>
        </w:rPr>
        <w:t>27.制冷系统：高效的制冷系统设计，通过强制风冷循环系统实现更均匀的温度布局，同时保证更小的温度波动，从而实现样本储存温度的稳定；</w:t>
      </w:r>
      <w:r>
        <w:rPr>
          <w:rFonts w:hint="eastAsia" w:asciiTheme="minorEastAsia" w:hAnsiTheme="minorEastAsia" w:eastAsiaTheme="minorEastAsia" w:cstheme="minorEastAsia"/>
          <w:kern w:val="0"/>
          <w:sz w:val="24"/>
        </w:rPr>
        <w:t>翅片式蒸发器配合独特的循环风冷背吹技术设计，保证箱内无霜。</w:t>
      </w:r>
    </w:p>
    <w:bookmarkEnd w:id="3"/>
    <w:bookmarkEnd w:id="5"/>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28.温度控制：</w:t>
      </w:r>
      <w:r>
        <w:rPr>
          <w:rFonts w:hint="eastAsia" w:asciiTheme="minorEastAsia" w:hAnsiTheme="minorEastAsia" w:eastAsiaTheme="minorEastAsia" w:cstheme="minorEastAsia"/>
          <w:kern w:val="0"/>
          <w:sz w:val="24"/>
        </w:rPr>
        <w:t>微电脑控制系统，LED数码显示温度数据，可确保精确稳定的运行；精准的电子温度控制及显示，精度达到0.1℃。</w:t>
      </w:r>
      <w:r>
        <w:rPr>
          <w:rFonts w:hint="eastAsia" w:asciiTheme="minorEastAsia" w:hAnsiTheme="minorEastAsia" w:eastAsiaTheme="minorEastAsia" w:cstheme="minorEastAsia"/>
          <w:sz w:val="24"/>
        </w:rPr>
        <w:t xml:space="preserve"> </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29.显示方式：LED数码显示屏，可显示箱内温度及各种报警信息。</w:t>
      </w:r>
    </w:p>
    <w:bookmarkEnd w:id="4"/>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30.报警系统：具备高低温报警、断电报警、电压异常报警、温控器故障、电池电量低报警、冷凝器脏堵报警、环温报警、门开报警。</w:t>
      </w:r>
    </w:p>
    <w:bookmarkEnd w:id="1"/>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31.报警方式：</w:t>
      </w:r>
      <w:bookmarkStart w:id="6" w:name="_Hlk523471849"/>
      <w:r>
        <w:rPr>
          <w:rFonts w:hint="eastAsia" w:asciiTheme="minorEastAsia" w:hAnsiTheme="minorEastAsia" w:eastAsiaTheme="minorEastAsia" w:cstheme="minorEastAsia"/>
          <w:sz w:val="24"/>
        </w:rPr>
        <w:t>具备声音蜂鸣和灯光闪烁的报警方式。</w:t>
      </w:r>
      <w:bookmarkEnd w:id="6"/>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32.电器安全：</w:t>
      </w:r>
    </w:p>
    <w:p>
      <w:pPr>
        <w:spacing w:line="360" w:lineRule="auto"/>
        <w:ind w:right="-105" w:rightChars="-50"/>
        <w:textAlignment w:val="baseline"/>
        <w:rPr>
          <w:rFonts w:asciiTheme="minorEastAsia" w:hAnsiTheme="minorEastAsia" w:eastAsiaTheme="minorEastAsia" w:cstheme="minorEastAsia"/>
          <w:sz w:val="24"/>
        </w:rPr>
      </w:pPr>
      <w:r>
        <w:rPr>
          <w:rFonts w:hint="eastAsia" w:asciiTheme="minorEastAsia" w:hAnsiTheme="minorEastAsia" w:eastAsiaTheme="minorEastAsia" w:cstheme="minorEastAsia"/>
          <w:kern w:val="24"/>
          <w:sz w:val="24"/>
        </w:rPr>
        <w:t>（1）标配GSM短信报警模块；</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sz w:val="24"/>
        </w:rPr>
        <w:t>（2）标配远程报警接口；</w:t>
      </w:r>
    </w:p>
    <w:p>
      <w:pPr>
        <w:spacing w:line="360" w:lineRule="auto"/>
        <w:ind w:right="-105" w:rightChars="-50"/>
        <w:textAlignment w:val="baseline"/>
        <w:rPr>
          <w:rFonts w:asciiTheme="minorEastAsia" w:hAnsiTheme="minorEastAsia" w:eastAsiaTheme="minorEastAsia" w:cstheme="minorEastAsia"/>
          <w:sz w:val="24"/>
        </w:rPr>
      </w:pPr>
      <w:r>
        <w:rPr>
          <w:rFonts w:hint="eastAsia" w:asciiTheme="minorEastAsia" w:hAnsiTheme="minorEastAsia" w:eastAsiaTheme="minorEastAsia" w:cstheme="minorEastAsia"/>
          <w:kern w:val="24"/>
          <w:sz w:val="24"/>
        </w:rPr>
        <w:t>（3）</w:t>
      </w:r>
      <w:r>
        <w:rPr>
          <w:rFonts w:hint="eastAsia" w:asciiTheme="minorEastAsia" w:hAnsiTheme="minorEastAsia" w:eastAsiaTheme="minorEastAsia" w:cstheme="minorEastAsia"/>
          <w:sz w:val="24"/>
        </w:rPr>
        <w:t>备用电池确保断电后报警48小时；</w:t>
      </w:r>
    </w:p>
    <w:p>
      <w:pPr>
        <w:spacing w:line="360" w:lineRule="auto"/>
        <w:ind w:right="-105" w:rightChars="-50"/>
        <w:textAlignment w:val="baseline"/>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（4）温控器探头故障安全运行模式；</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（5）键盘锁定、密码保护功能，防止随意调整运行参数，导致设备异常；</w:t>
      </w:r>
    </w:p>
    <w:p>
      <w:pPr>
        <w:snapToGrid w:val="0"/>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kern w:val="24"/>
          <w:sz w:val="24"/>
        </w:rPr>
        <w:t>（6）</w:t>
      </w:r>
      <w:bookmarkStart w:id="7" w:name="_Hlk523473056"/>
      <w:r>
        <w:rPr>
          <w:rFonts w:hint="eastAsia" w:asciiTheme="minorEastAsia" w:hAnsiTheme="minorEastAsia" w:eastAsiaTheme="minorEastAsia" w:cstheme="minorEastAsia"/>
          <w:sz w:val="24"/>
        </w:rPr>
        <w:t>断电保护：在恢复供电时，所有设备的同时启动会对电网造成较大冲击，从而可能导致断路器跳闸；</w:t>
      </w:r>
      <w:bookmarkEnd w:id="7"/>
      <w:r>
        <w:rPr>
          <w:rFonts w:hint="eastAsia" w:asciiTheme="minorEastAsia" w:hAnsiTheme="minorEastAsia" w:eastAsiaTheme="minorEastAsia" w:cstheme="minorEastAsia"/>
          <w:sz w:val="24"/>
        </w:rPr>
        <w:t>针对这种情况特别设计的设备延时启动功能可使设备在恢复期间延时数分钟启动，使设备平稳的重新运行；</w:t>
      </w:r>
    </w:p>
    <w:p>
      <w:pPr>
        <w:spacing w:line="360" w:lineRule="auto"/>
        <w:ind w:right="-105" w:rightChars="-50"/>
        <w:textAlignment w:val="baseline"/>
        <w:rPr>
          <w:rFonts w:asciiTheme="minorEastAsia" w:hAnsiTheme="minorEastAsia" w:eastAsiaTheme="minorEastAsia" w:cstheme="minorEastAsia"/>
          <w:sz w:val="24"/>
        </w:rPr>
      </w:pPr>
      <w:r>
        <w:rPr>
          <w:rFonts w:hint="eastAsia" w:asciiTheme="minorEastAsia" w:hAnsiTheme="minorEastAsia" w:eastAsiaTheme="minorEastAsia" w:cstheme="minorEastAsia"/>
          <w:kern w:val="24"/>
          <w:sz w:val="24"/>
        </w:rPr>
        <w:t>（7）</w:t>
      </w:r>
      <w:r>
        <w:rPr>
          <w:rFonts w:hint="eastAsia" w:asciiTheme="minorEastAsia" w:hAnsiTheme="minorEastAsia" w:eastAsiaTheme="minorEastAsia" w:cstheme="minorEastAsia"/>
          <w:sz w:val="24"/>
        </w:rPr>
        <w:t>宽电压带适用，可在187V～242V范围内正常使用。</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33.特色功能：</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（1）标配USB接口，方便导出温度数据；</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（2）温度存储数据达5年，可通过U盘导出数据长久保存；</w:t>
      </w:r>
    </w:p>
    <w:p>
      <w:pPr>
        <w:spacing w:line="360" w:lineRule="auto"/>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（3）标配1个暗锁设计，防止开关门异常；</w:t>
      </w:r>
    </w:p>
    <w:p>
      <w:pPr>
        <w:spacing w:line="360" w:lineRule="auto"/>
        <w:rPr>
          <w:rFonts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（4）</w:t>
      </w:r>
      <w:r>
        <w:rPr>
          <w:rFonts w:hint="eastAsia" w:asciiTheme="minorEastAsia" w:hAnsiTheme="minorEastAsia" w:eastAsiaTheme="minorEastAsia" w:cstheme="minorEastAsia"/>
          <w:kern w:val="0"/>
          <w:sz w:val="24"/>
        </w:rPr>
        <w:t>内设LED冷光源照明灯带，使箱体内部一目了然；</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kern w:val="24"/>
          <w:sz w:val="24"/>
        </w:rPr>
        <w:t>（5）</w:t>
      </w:r>
      <w:r>
        <w:rPr>
          <w:rFonts w:hint="eastAsia" w:asciiTheme="minorEastAsia" w:hAnsiTheme="minorEastAsia" w:eastAsiaTheme="minorEastAsia" w:cstheme="minorEastAsia"/>
          <w:sz w:val="24"/>
        </w:rPr>
        <w:t>标配自动回弹门体，解决用户忘记关门的后顾之忧；</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（6）箱内底层标配1个浸塑网框，方便用户存取物品；</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（7）高低温查询功能，方便用户追溯过去24小时内出现的最高温度、最低温度及对应时间；</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（8）智能照明控制，如果没有开启柜内照明，开门取药时，灯会自动点亮，方便用户存取目标药品，关门后1分钟灯会自动熄灭；</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（9）智慧节能模式，根据时间自动控制玻璃加热膜，以达到节能的目的。</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35.</w:t>
      </w:r>
      <w:bookmarkStart w:id="8" w:name="_Hlk523906843"/>
      <w:r>
        <w:rPr>
          <w:rFonts w:hint="eastAsia" w:asciiTheme="minorEastAsia" w:hAnsiTheme="minorEastAsia" w:eastAsiaTheme="minorEastAsia" w:cstheme="minorEastAsia"/>
          <w:kern w:val="24"/>
          <w:sz w:val="24"/>
        </w:rPr>
        <w:t>可选配件：电子密码锁、温湿度记录仪、</w:t>
      </w:r>
      <w:r>
        <w:rPr>
          <w:rFonts w:hint="eastAsia" w:asciiTheme="minorEastAsia" w:hAnsiTheme="minorEastAsia" w:eastAsiaTheme="minorEastAsia" w:cstheme="minorEastAsia"/>
          <w:sz w:val="24"/>
        </w:rPr>
        <w:t>防水插座</w:t>
      </w:r>
      <w:r>
        <w:rPr>
          <w:rFonts w:hint="eastAsia" w:asciiTheme="minorEastAsia" w:hAnsiTheme="minorEastAsia" w:eastAsiaTheme="minorEastAsia" w:cstheme="minorEastAsia"/>
          <w:kern w:val="24"/>
          <w:sz w:val="24"/>
        </w:rPr>
        <w:t>等。</w:t>
      </w:r>
      <w:bookmarkEnd w:id="8"/>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 xml:space="preserve">36.资格凭证： </w:t>
      </w:r>
    </w:p>
    <w:p>
      <w:pPr>
        <w:spacing w:line="360" w:lineRule="auto"/>
        <w:ind w:right="-105" w:rightChars="-50"/>
        <w:textAlignment w:val="baseline"/>
        <w:rPr>
          <w:rFonts w:asciiTheme="minorEastAsia" w:hAnsiTheme="minorEastAsia" w:cstheme="minorEastAsia"/>
          <w:kern w:val="24"/>
          <w:sz w:val="24"/>
        </w:rPr>
      </w:pPr>
      <w:r>
        <w:rPr>
          <w:rFonts w:hint="eastAsia" w:asciiTheme="minorEastAsia" w:hAnsiTheme="minorEastAsia" w:cstheme="minorEastAsia"/>
          <w:kern w:val="24"/>
          <w:sz w:val="24"/>
        </w:rPr>
        <w:t>（1）</w:t>
      </w:r>
      <w:r>
        <w:rPr>
          <w:rFonts w:hint="eastAsia" w:asciiTheme="minorEastAsia" w:hAnsiTheme="minorEastAsia" w:eastAsiaTheme="minorEastAsia" w:cstheme="minorEastAsia"/>
          <w:kern w:val="24"/>
          <w:sz w:val="24"/>
        </w:rPr>
        <w:t>医疗器械生产许可证</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cstheme="minorEastAsia"/>
          <w:kern w:val="24"/>
          <w:sz w:val="24"/>
        </w:rPr>
        <w:t>（2）</w:t>
      </w:r>
      <w:r>
        <w:rPr>
          <w:rFonts w:hint="eastAsia" w:asciiTheme="minorEastAsia" w:hAnsiTheme="minorEastAsia" w:eastAsiaTheme="minorEastAsia" w:cstheme="minorEastAsia"/>
          <w:kern w:val="24"/>
          <w:sz w:val="24"/>
        </w:rPr>
        <w:t>医疗器械注册</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（3）ISO9001质量管理体系认证</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（4）ISO13485医疗器械质量管理体系认证</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（5）ISO14001环境管理体系认证</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（6）OHSAS18001职业健康安全管理体系认证</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（7）CE认证</w:t>
      </w:r>
    </w:p>
    <w:p>
      <w:pPr>
        <w:spacing w:line="360" w:lineRule="auto"/>
        <w:ind w:right="-105" w:rightChars="-50"/>
        <w:textAlignment w:val="baseline"/>
        <w:rPr>
          <w:rFonts w:asciiTheme="minorEastAsia" w:hAnsiTheme="minorEastAsia" w:eastAsiaTheme="minorEastAsia" w:cstheme="minorEastAsia"/>
          <w:kern w:val="24"/>
          <w:sz w:val="24"/>
        </w:rPr>
      </w:pPr>
      <w:r>
        <w:rPr>
          <w:rFonts w:hint="eastAsia" w:asciiTheme="minorEastAsia" w:hAnsiTheme="minorEastAsia" w:eastAsiaTheme="minorEastAsia" w:cstheme="minorEastAsia"/>
          <w:kern w:val="24"/>
          <w:sz w:val="24"/>
        </w:rPr>
        <w:t>37.售后质保：整机质保三年。</w:t>
      </w:r>
    </w:p>
    <w:p>
      <w:pPr>
        <w:spacing w:line="360" w:lineRule="auto"/>
        <w:rPr>
          <w:b/>
          <w:bCs/>
          <w:sz w:val="28"/>
          <w:szCs w:val="28"/>
        </w:rPr>
      </w:pPr>
    </w:p>
    <w:p>
      <w:pPr>
        <w:numPr>
          <w:ilvl w:val="0"/>
          <w:numId w:val="6"/>
        </w:numPr>
        <w:spacing w:line="360" w:lineRule="auto"/>
        <w:rPr>
          <w:b/>
          <w:bCs/>
          <w:sz w:val="28"/>
          <w:szCs w:val="28"/>
        </w:rPr>
      </w:pPr>
      <w:r>
        <w:rPr>
          <w:rFonts w:hint="eastAsia"/>
          <w:b/>
          <w:bCs/>
          <w:sz w:val="28"/>
          <w:szCs w:val="28"/>
        </w:rPr>
        <w:t>心电图机</w:t>
      </w:r>
    </w:p>
    <w:p>
      <w:pPr>
        <w:numPr>
          <w:ilvl w:val="0"/>
          <w:numId w:val="7"/>
        </w:num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外观：</w:t>
      </w:r>
    </w:p>
    <w:p>
      <w:pPr>
        <w:pStyle w:val="14"/>
        <w:spacing w:line="360" w:lineRule="auto"/>
        <w:jc w:val="both"/>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外形尺寸：</w:t>
      </w:r>
      <w:r>
        <w:rPr>
          <w:rFonts w:hint="eastAsia" w:asciiTheme="minorEastAsia" w:hAnsiTheme="minorEastAsia" w:eastAsiaTheme="minorEastAsia" w:cstheme="minorEastAsia"/>
          <w:color w:val="auto"/>
          <w:kern w:val="2"/>
        </w:rPr>
        <w:t xml:space="preserve"> 420mm×330mm×120mm</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重量：5.0kg（不含记录纸和电池）</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屏幕显示：5.7英寸屏: 320 × 240彩色液晶屏显示</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外部输入输出端口、RS232端口、网口、USB口</w:t>
      </w:r>
    </w:p>
    <w:p>
      <w:pPr>
        <w:numPr>
          <w:ilvl w:val="0"/>
          <w:numId w:val="7"/>
        </w:num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主机参数</w:t>
      </w:r>
    </w:p>
    <w:tbl>
      <w:tblPr>
        <w:tblStyle w:val="9"/>
        <w:tblW w:w="890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76"/>
        <w:gridCol w:w="905"/>
        <w:gridCol w:w="621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1" w:hRule="atLeast"/>
        </w:trPr>
        <w:tc>
          <w:tcPr>
            <w:tcW w:w="1776" w:type="dxa"/>
            <w:tcBorders>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输入方式</w:t>
            </w:r>
          </w:p>
        </w:tc>
        <w:tc>
          <w:tcPr>
            <w:tcW w:w="905" w:type="dxa"/>
            <w:tcBorders>
              <w:bottom w:val="single" w:color="000000" w:sz="6" w:space="0"/>
              <w:right w:val="single" w:color="000000" w:sz="6" w:space="0"/>
            </w:tcBorders>
          </w:tcPr>
          <w:p>
            <w:pPr>
              <w:pStyle w:val="14"/>
              <w:spacing w:line="360" w:lineRule="auto"/>
              <w:rPr>
                <w:rFonts w:asciiTheme="minorEastAsia" w:hAnsiTheme="minorEastAsia" w:eastAsiaTheme="minorEastAsia" w:cstheme="minorEastAsia"/>
                <w:color w:val="auto"/>
              </w:rPr>
            </w:pPr>
          </w:p>
        </w:tc>
        <w:tc>
          <w:tcPr>
            <w:tcW w:w="6219" w:type="dxa"/>
            <w:tcBorders>
              <w:left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浮地，除颤保护，起博脉冲抑制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8" w:hRule="atLeast"/>
        </w:trPr>
        <w:tc>
          <w:tcPr>
            <w:tcW w:w="1776" w:type="dxa"/>
            <w:tcBorders>
              <w:top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导联</w:t>
            </w:r>
          </w:p>
        </w:tc>
        <w:tc>
          <w:tcPr>
            <w:tcW w:w="905" w:type="dxa"/>
            <w:tcBorders>
              <w:top w:val="single" w:color="000000" w:sz="6" w:space="0"/>
              <w:bottom w:val="single" w:color="000000" w:sz="6" w:space="0"/>
              <w:right w:val="single" w:color="000000" w:sz="6"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000000" w:sz="6" w:space="0"/>
              <w:left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标准 12导联同步采集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8" w:hRule="atLeast"/>
        </w:trPr>
        <w:tc>
          <w:tcPr>
            <w:tcW w:w="1776" w:type="dxa"/>
            <w:tcBorders>
              <w:top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采集模式</w:t>
            </w:r>
          </w:p>
        </w:tc>
        <w:tc>
          <w:tcPr>
            <w:tcW w:w="905" w:type="dxa"/>
            <w:tcBorders>
              <w:top w:val="single" w:color="000000" w:sz="6" w:space="0"/>
              <w:bottom w:val="single" w:color="000000" w:sz="6" w:space="0"/>
              <w:right w:val="single" w:color="000000" w:sz="6"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000000" w:sz="6" w:space="0"/>
              <w:left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12导同步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8" w:hRule="atLeast"/>
        </w:trPr>
        <w:tc>
          <w:tcPr>
            <w:tcW w:w="1776" w:type="dxa"/>
            <w:tcBorders>
              <w:top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A/D转换</w:t>
            </w:r>
          </w:p>
        </w:tc>
        <w:tc>
          <w:tcPr>
            <w:tcW w:w="905" w:type="dxa"/>
            <w:tcBorders>
              <w:top w:val="single" w:color="000000" w:sz="6" w:space="0"/>
              <w:bottom w:val="single" w:color="000000" w:sz="6" w:space="0"/>
              <w:right w:val="single" w:color="000000" w:sz="6"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000000" w:sz="6" w:space="0"/>
              <w:left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24位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776" w:type="dxa"/>
            <w:tcBorders>
              <w:top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时间常数 </w:t>
            </w:r>
          </w:p>
        </w:tc>
        <w:tc>
          <w:tcPr>
            <w:tcW w:w="905" w:type="dxa"/>
            <w:tcBorders>
              <w:top w:val="single" w:color="000000" w:sz="6" w:space="0"/>
              <w:bottom w:val="single" w:color="000000" w:sz="6" w:space="0"/>
              <w:right w:val="single" w:color="000000" w:sz="6"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000000" w:sz="6" w:space="0"/>
              <w:left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≥3.2s (0, +20%)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8" w:hRule="atLeast"/>
        </w:trPr>
        <w:tc>
          <w:tcPr>
            <w:tcW w:w="1776" w:type="dxa"/>
            <w:tcBorders>
              <w:top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频率响应 </w:t>
            </w:r>
          </w:p>
        </w:tc>
        <w:tc>
          <w:tcPr>
            <w:tcW w:w="905" w:type="dxa"/>
            <w:tcBorders>
              <w:top w:val="single" w:color="000000" w:sz="6" w:space="0"/>
              <w:bottom w:val="single" w:color="000000" w:sz="6" w:space="0"/>
              <w:right w:val="single" w:color="000000" w:sz="6"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000000" w:sz="6" w:space="0"/>
              <w:left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0.05Hz ~ 150Hz (-3dB)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8" w:hRule="atLeast"/>
        </w:trPr>
        <w:tc>
          <w:tcPr>
            <w:tcW w:w="1776" w:type="dxa"/>
            <w:tcBorders>
              <w:top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增益</w:t>
            </w:r>
          </w:p>
        </w:tc>
        <w:tc>
          <w:tcPr>
            <w:tcW w:w="905" w:type="dxa"/>
            <w:tcBorders>
              <w:top w:val="single" w:color="000000" w:sz="6" w:space="0"/>
              <w:bottom w:val="single" w:color="000000" w:sz="6" w:space="0"/>
              <w:right w:val="single" w:color="000000" w:sz="6"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000000" w:sz="6" w:space="0"/>
              <w:left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 2.5，5，10，20，10/5，AGC (mm/mV)</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8" w:hRule="atLeast"/>
        </w:trPr>
        <w:tc>
          <w:tcPr>
            <w:tcW w:w="1776" w:type="dxa"/>
            <w:tcBorders>
              <w:top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输入阻抗 </w:t>
            </w:r>
          </w:p>
        </w:tc>
        <w:tc>
          <w:tcPr>
            <w:tcW w:w="905" w:type="dxa"/>
            <w:tcBorders>
              <w:top w:val="single" w:color="000000" w:sz="6" w:space="0"/>
              <w:bottom w:val="single" w:color="000000" w:sz="6" w:space="0"/>
              <w:right w:val="single" w:color="000000" w:sz="6"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000000" w:sz="6" w:space="0"/>
              <w:left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≥50M Ω（10Hz）</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8" w:hRule="atLeast"/>
        </w:trPr>
        <w:tc>
          <w:tcPr>
            <w:tcW w:w="1776" w:type="dxa"/>
            <w:tcBorders>
              <w:top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输入回路电流 </w:t>
            </w:r>
          </w:p>
        </w:tc>
        <w:tc>
          <w:tcPr>
            <w:tcW w:w="905" w:type="dxa"/>
            <w:tcBorders>
              <w:top w:val="single" w:color="000000" w:sz="6" w:space="0"/>
              <w:bottom w:val="single" w:color="000000" w:sz="6" w:space="0"/>
              <w:right w:val="single" w:color="000000" w:sz="6"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000000" w:sz="6" w:space="0"/>
              <w:left w:val="single" w:color="000000" w:sz="6" w:space="0"/>
              <w:bottom w:val="single" w:color="000000" w:sz="6" w:space="0"/>
            </w:tcBorders>
            <w:vAlign w:val="center"/>
          </w:tcPr>
          <w:p>
            <w:pPr>
              <w:autoSpaceDE w:val="0"/>
              <w:autoSpaceDN w:val="0"/>
              <w:adjustRightInd w:val="0"/>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 xml:space="preserve">≤0.01μA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776" w:type="dxa"/>
            <w:tcBorders>
              <w:top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输入电压范围 </w:t>
            </w:r>
          </w:p>
        </w:tc>
        <w:tc>
          <w:tcPr>
            <w:tcW w:w="905" w:type="dxa"/>
            <w:tcBorders>
              <w:top w:val="single" w:color="000000" w:sz="6" w:space="0"/>
              <w:bottom w:val="single" w:color="000000" w:sz="6" w:space="0"/>
              <w:right w:val="single" w:color="000000" w:sz="6"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000000" w:sz="6" w:space="0"/>
              <w:left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≤±5 mVpp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776" w:type="dxa"/>
            <w:tcBorders>
              <w:top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内部噪声</w:t>
            </w:r>
          </w:p>
        </w:tc>
        <w:tc>
          <w:tcPr>
            <w:tcW w:w="905" w:type="dxa"/>
            <w:tcBorders>
              <w:top w:val="single" w:color="000000" w:sz="6" w:space="0"/>
              <w:bottom w:val="single" w:color="000000" w:sz="6" w:space="0"/>
              <w:right w:val="single" w:color="000000" w:sz="6"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000000" w:sz="6" w:space="0"/>
              <w:left w:val="single" w:color="000000" w:sz="6" w:space="0"/>
              <w:bottom w:val="single" w:color="000000" w:sz="6" w:space="0"/>
            </w:tcBorders>
            <w:vAlign w:val="center"/>
          </w:tcPr>
          <w:p>
            <w:pPr>
              <w:autoSpaceDE w:val="0"/>
              <w:autoSpaceDN w:val="0"/>
              <w:adjustRightInd w:val="0"/>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≤12.5μVp-p</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8" w:hRule="atLeast"/>
        </w:trPr>
        <w:tc>
          <w:tcPr>
            <w:tcW w:w="1776" w:type="dxa"/>
            <w:tcBorders>
              <w:top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定标电压 </w:t>
            </w:r>
          </w:p>
        </w:tc>
        <w:tc>
          <w:tcPr>
            <w:tcW w:w="905" w:type="dxa"/>
            <w:tcBorders>
              <w:top w:val="single" w:color="000000" w:sz="6" w:space="0"/>
              <w:bottom w:val="single" w:color="000000" w:sz="6" w:space="0"/>
              <w:right w:val="single" w:color="000000" w:sz="6"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000000" w:sz="6" w:space="0"/>
              <w:left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1mV±2%</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8" w:hRule="atLeast"/>
        </w:trPr>
        <w:tc>
          <w:tcPr>
            <w:tcW w:w="1776" w:type="dxa"/>
            <w:tcBorders>
              <w:top w:val="single" w:color="000000" w:sz="6" w:space="0"/>
              <w:bottom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耐极化电压 </w:t>
            </w:r>
          </w:p>
        </w:tc>
        <w:tc>
          <w:tcPr>
            <w:tcW w:w="905" w:type="dxa"/>
            <w:tcBorders>
              <w:top w:val="single" w:color="000000" w:sz="6" w:space="0"/>
              <w:bottom w:val="single" w:color="auto" w:sz="4" w:space="0"/>
              <w:right w:val="single" w:color="000000" w:sz="6"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000000" w:sz="6" w:space="0"/>
              <w:left w:val="single" w:color="000000" w:sz="6" w:space="0"/>
              <w:bottom w:val="single" w:color="auto" w:sz="4" w:space="0"/>
            </w:tcBorders>
            <w:vAlign w:val="center"/>
          </w:tcPr>
          <w:p>
            <w:pPr>
              <w:autoSpaceDE w:val="0"/>
              <w:autoSpaceDN w:val="0"/>
              <w:adjustRightInd w:val="0"/>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±600mV</w:t>
            </w:r>
            <w:r>
              <w:rPr>
                <w:rFonts w:hint="eastAsia" w:asciiTheme="minorEastAsia" w:hAnsiTheme="minorEastAsia" w:eastAsiaTheme="minorEastAsia" w:cstheme="minorEastAsia"/>
                <w:kern w:val="0"/>
                <w:sz w:val="24"/>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trPr>
        <w:tc>
          <w:tcPr>
            <w:tcW w:w="1776" w:type="dxa"/>
            <w:vMerge w:val="restart"/>
            <w:tcBorders>
              <w:top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患者漏电流 </w:t>
            </w:r>
          </w:p>
        </w:tc>
        <w:tc>
          <w:tcPr>
            <w:tcW w:w="905"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NC </w:t>
            </w:r>
          </w:p>
        </w:tc>
        <w:tc>
          <w:tcPr>
            <w:tcW w:w="6219" w:type="dxa"/>
            <w:tcBorders>
              <w:top w:val="single" w:color="auto" w:sz="4" w:space="0"/>
              <w:left w:val="single" w:color="auto" w:sz="4" w:space="0"/>
              <w:bottom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&lt;10μA (AC) / &lt;10μA (DC)</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8" w:hRule="atLeast"/>
        </w:trPr>
        <w:tc>
          <w:tcPr>
            <w:tcW w:w="1776" w:type="dxa"/>
            <w:vMerge w:val="continue"/>
            <w:tcBorders>
              <w:top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p>
        </w:tc>
        <w:tc>
          <w:tcPr>
            <w:tcW w:w="905"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SFC </w:t>
            </w:r>
          </w:p>
        </w:tc>
        <w:tc>
          <w:tcPr>
            <w:tcW w:w="6219" w:type="dxa"/>
            <w:tcBorders>
              <w:top w:val="single" w:color="auto" w:sz="4" w:space="0"/>
              <w:left w:val="single" w:color="auto" w:sz="4" w:space="0"/>
              <w:bottom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&lt;50μA (AC) / &lt;50μA (DC)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trPr>
        <w:tc>
          <w:tcPr>
            <w:tcW w:w="1776" w:type="dxa"/>
            <w:vMerge w:val="restart"/>
            <w:tcBorders>
              <w:top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患者辅助漏电流 </w:t>
            </w:r>
          </w:p>
        </w:tc>
        <w:tc>
          <w:tcPr>
            <w:tcW w:w="905"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NC </w:t>
            </w:r>
          </w:p>
        </w:tc>
        <w:tc>
          <w:tcPr>
            <w:tcW w:w="6219" w:type="dxa"/>
            <w:tcBorders>
              <w:top w:val="single" w:color="auto" w:sz="4" w:space="0"/>
              <w:left w:val="single" w:color="auto" w:sz="4" w:space="0"/>
              <w:bottom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&lt;10μA (AC) / &lt;10μA (DC)</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8" w:hRule="atLeast"/>
        </w:trPr>
        <w:tc>
          <w:tcPr>
            <w:tcW w:w="1776" w:type="dxa"/>
            <w:vMerge w:val="continue"/>
            <w:tcBorders>
              <w:top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p>
        </w:tc>
        <w:tc>
          <w:tcPr>
            <w:tcW w:w="905"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SFC </w:t>
            </w:r>
          </w:p>
        </w:tc>
        <w:tc>
          <w:tcPr>
            <w:tcW w:w="6219" w:type="dxa"/>
            <w:tcBorders>
              <w:top w:val="single" w:color="auto" w:sz="4" w:space="0"/>
              <w:left w:val="single" w:color="auto" w:sz="4" w:space="0"/>
              <w:bottom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&lt;50μA (AC) / &lt;50μA (DC)</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8" w:hRule="atLeast"/>
        </w:trPr>
        <w:tc>
          <w:tcPr>
            <w:tcW w:w="1776" w:type="dxa"/>
            <w:vMerge w:val="restart"/>
            <w:tcBorders>
              <w:top w:val="single" w:color="auto" w:sz="4" w:space="0"/>
              <w:bottom w:val="single" w:color="000000" w:sz="6" w:space="0"/>
            </w:tcBorders>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滤波器</w:t>
            </w:r>
          </w:p>
        </w:tc>
        <w:tc>
          <w:tcPr>
            <w:tcW w:w="905" w:type="dxa"/>
            <w:vMerge w:val="restart"/>
            <w:tcBorders>
              <w:top w:val="single" w:color="auto" w:sz="4" w:space="0"/>
              <w:bottom w:val="single" w:color="000000" w:sz="6" w:space="0"/>
              <w:right w:val="single" w:color="000000" w:sz="6"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auto" w:sz="4" w:space="0"/>
              <w:left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交流滤波器开启/关闭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8" w:hRule="atLeast"/>
        </w:trPr>
        <w:tc>
          <w:tcPr>
            <w:tcW w:w="1776" w:type="dxa"/>
            <w:vMerge w:val="continue"/>
            <w:tcBorders>
              <w:top w:val="single" w:color="000000" w:sz="12" w:space="0"/>
              <w:bottom w:val="single" w:color="000000" w:sz="6" w:space="0"/>
            </w:tcBorders>
          </w:tcPr>
          <w:p>
            <w:pPr>
              <w:pStyle w:val="14"/>
              <w:spacing w:line="360" w:lineRule="auto"/>
              <w:rPr>
                <w:rFonts w:asciiTheme="minorEastAsia" w:hAnsiTheme="minorEastAsia" w:eastAsiaTheme="minorEastAsia" w:cstheme="minorEastAsia"/>
                <w:color w:val="auto"/>
              </w:rPr>
            </w:pPr>
          </w:p>
        </w:tc>
        <w:tc>
          <w:tcPr>
            <w:tcW w:w="905" w:type="dxa"/>
            <w:vMerge w:val="continue"/>
            <w:tcBorders>
              <w:top w:val="single" w:color="000000" w:sz="12" w:space="0"/>
              <w:bottom w:val="single" w:color="000000" w:sz="6" w:space="0"/>
              <w:right w:val="single" w:color="000000" w:sz="6"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000000" w:sz="6" w:space="0"/>
              <w:left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基线漂移滤波器 0.05/0.15/0.25/0.32/0.5/0.67Hz</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776" w:type="dxa"/>
            <w:vMerge w:val="continue"/>
            <w:tcBorders>
              <w:top w:val="single" w:color="000000" w:sz="12" w:space="0"/>
              <w:bottom w:val="single" w:color="000000" w:sz="6" w:space="0"/>
            </w:tcBorders>
          </w:tcPr>
          <w:p>
            <w:pPr>
              <w:pStyle w:val="14"/>
              <w:spacing w:line="360" w:lineRule="auto"/>
              <w:rPr>
                <w:rFonts w:asciiTheme="minorEastAsia" w:hAnsiTheme="minorEastAsia" w:eastAsiaTheme="minorEastAsia" w:cstheme="minorEastAsia"/>
                <w:color w:val="auto"/>
              </w:rPr>
            </w:pPr>
          </w:p>
        </w:tc>
        <w:tc>
          <w:tcPr>
            <w:tcW w:w="905" w:type="dxa"/>
            <w:vMerge w:val="continue"/>
            <w:tcBorders>
              <w:top w:val="single" w:color="000000" w:sz="12" w:space="0"/>
              <w:bottom w:val="single" w:color="000000" w:sz="6" w:space="0"/>
              <w:right w:val="single" w:color="000000" w:sz="6"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000000" w:sz="6" w:space="0"/>
              <w:left w:val="single" w:color="000000" w:sz="6" w:space="0"/>
              <w:bottom w:val="single" w:color="000000" w:sz="6"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肌电滤波器 25Hz，35Hz，45Hz，关闭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6" w:hRule="atLeast"/>
        </w:trPr>
        <w:tc>
          <w:tcPr>
            <w:tcW w:w="2681" w:type="dxa"/>
            <w:gridSpan w:val="2"/>
            <w:tcBorders>
              <w:top w:val="single" w:color="000000" w:sz="4" w:space="0"/>
              <w:bottom w:val="single" w:color="auto" w:sz="4" w:space="0"/>
              <w:right w:val="single" w:color="000000" w:sz="6"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000000" w:sz="4" w:space="0"/>
              <w:left w:val="single" w:color="000000" w:sz="6" w:space="0"/>
              <w:bottom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低通滤波器 150Hz/100Hz/75Hz</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1" w:hRule="atLeast"/>
        </w:trPr>
        <w:tc>
          <w:tcPr>
            <w:tcW w:w="2681" w:type="dxa"/>
            <w:gridSpan w:val="2"/>
            <w:tcBorders>
              <w:top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共模抑制比(CMRR) </w:t>
            </w:r>
          </w:p>
        </w:tc>
        <w:tc>
          <w:tcPr>
            <w:tcW w:w="6219" w:type="dxa"/>
            <w:tcBorders>
              <w:top w:val="single" w:color="auto" w:sz="4" w:space="0"/>
              <w:left w:val="single" w:color="auto" w:sz="4" w:space="0"/>
              <w:bottom w:val="single" w:color="auto" w:sz="4" w:space="0"/>
            </w:tcBorders>
            <w:vAlign w:val="center"/>
          </w:tcPr>
          <w:p>
            <w:pPr>
              <w:autoSpaceDE w:val="0"/>
              <w:autoSpaceDN w:val="0"/>
              <w:adjustRightInd w:val="0"/>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≥121dB（AC 滤波开启）</w:t>
            </w:r>
          </w:p>
          <w:p>
            <w:pPr>
              <w:autoSpaceDE w:val="0"/>
              <w:autoSpaceDN w:val="0"/>
              <w:adjustRightInd w:val="0"/>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≥115dB（AC 滤波关闭）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1" w:hRule="atLeast"/>
        </w:trPr>
        <w:tc>
          <w:tcPr>
            <w:tcW w:w="2681" w:type="dxa"/>
            <w:gridSpan w:val="2"/>
            <w:tcBorders>
              <w:top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采样率 </w:t>
            </w:r>
          </w:p>
        </w:tc>
        <w:tc>
          <w:tcPr>
            <w:tcW w:w="6219" w:type="dxa"/>
            <w:tcBorders>
              <w:top w:val="single" w:color="auto" w:sz="4" w:space="0"/>
              <w:lef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1000Hz </w:t>
            </w:r>
          </w:p>
        </w:tc>
      </w:tr>
    </w:tbl>
    <w:p>
      <w:pPr>
        <w:numPr>
          <w:ilvl w:val="0"/>
          <w:numId w:val="7"/>
        </w:num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打印部分</w:t>
      </w:r>
    </w:p>
    <w:tbl>
      <w:tblPr>
        <w:tblStyle w:val="9"/>
        <w:tblW w:w="8900" w:type="dxa"/>
        <w:tblInd w:w="0" w:type="dxa"/>
        <w:tblLayout w:type="fixed"/>
        <w:tblCellMar>
          <w:top w:w="0" w:type="dxa"/>
          <w:left w:w="108" w:type="dxa"/>
          <w:bottom w:w="0" w:type="dxa"/>
          <w:right w:w="108" w:type="dxa"/>
        </w:tblCellMar>
      </w:tblPr>
      <w:tblGrid>
        <w:gridCol w:w="1776"/>
        <w:gridCol w:w="905"/>
        <w:gridCol w:w="6219"/>
      </w:tblGrid>
      <w:tr>
        <w:tblPrEx>
          <w:tblCellMar>
            <w:top w:w="0" w:type="dxa"/>
            <w:left w:w="108" w:type="dxa"/>
            <w:bottom w:w="0" w:type="dxa"/>
            <w:right w:w="108" w:type="dxa"/>
          </w:tblCellMar>
        </w:tblPrEx>
        <w:trPr>
          <w:trHeight w:val="263" w:hRule="atLeast"/>
        </w:trPr>
        <w:tc>
          <w:tcPr>
            <w:tcW w:w="2681" w:type="dxa"/>
            <w:gridSpan w:val="2"/>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记录方式</w:t>
            </w:r>
          </w:p>
        </w:tc>
        <w:tc>
          <w:tcPr>
            <w:tcW w:w="6219"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热敏点阵记录</w:t>
            </w:r>
          </w:p>
        </w:tc>
      </w:tr>
      <w:tr>
        <w:tblPrEx>
          <w:tblCellMar>
            <w:top w:w="0" w:type="dxa"/>
            <w:left w:w="108" w:type="dxa"/>
            <w:bottom w:w="0" w:type="dxa"/>
            <w:right w:w="108" w:type="dxa"/>
          </w:tblCellMar>
        </w:tblPrEx>
        <w:trPr>
          <w:trHeight w:val="396" w:hRule="atLeast"/>
        </w:trPr>
        <w:tc>
          <w:tcPr>
            <w:tcW w:w="2681" w:type="dxa"/>
            <w:gridSpan w:val="2"/>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打印分辨率 </w:t>
            </w:r>
          </w:p>
        </w:tc>
        <w:tc>
          <w:tcPr>
            <w:tcW w:w="6219"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8点/mm (幅度轴 ) 40点/mm (时间轴 , @ 25 mm/s) </w:t>
            </w:r>
          </w:p>
        </w:tc>
      </w:tr>
      <w:tr>
        <w:tblPrEx>
          <w:tblCellMar>
            <w:top w:w="0" w:type="dxa"/>
            <w:left w:w="108" w:type="dxa"/>
            <w:bottom w:w="0" w:type="dxa"/>
            <w:right w:w="108" w:type="dxa"/>
          </w:tblCellMar>
        </w:tblPrEx>
        <w:trPr>
          <w:trHeight w:val="593" w:hRule="atLeast"/>
        </w:trPr>
        <w:tc>
          <w:tcPr>
            <w:tcW w:w="2681" w:type="dxa"/>
            <w:gridSpan w:val="2"/>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记录纸规格 </w:t>
            </w:r>
          </w:p>
        </w:tc>
        <w:tc>
          <w:tcPr>
            <w:tcW w:w="6219" w:type="dxa"/>
            <w:tcBorders>
              <w:top w:val="single" w:color="auto" w:sz="4" w:space="0"/>
              <w:left w:val="single" w:color="auto" w:sz="4" w:space="0"/>
              <w:bottom w:val="single" w:color="auto" w:sz="4" w:space="0"/>
              <w:right w:val="single" w:color="auto" w:sz="4" w:space="0"/>
            </w:tcBorders>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热敏记录折叠纸：210mm×295mm×100页热敏记录折叠纸：215mm×280mm×100页（可选）</w:t>
            </w:r>
          </w:p>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热敏记录卷纸：210mm×30m（可选）</w:t>
            </w:r>
          </w:p>
        </w:tc>
      </w:tr>
      <w:tr>
        <w:tblPrEx>
          <w:tblCellMar>
            <w:top w:w="0" w:type="dxa"/>
            <w:left w:w="108" w:type="dxa"/>
            <w:bottom w:w="0" w:type="dxa"/>
            <w:right w:w="108" w:type="dxa"/>
          </w:tblCellMar>
        </w:tblPrEx>
        <w:trPr>
          <w:trHeight w:val="268" w:hRule="atLeast"/>
        </w:trPr>
        <w:tc>
          <w:tcPr>
            <w:tcW w:w="2681" w:type="dxa"/>
            <w:gridSpan w:val="2"/>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走纸速度</w:t>
            </w:r>
          </w:p>
        </w:tc>
        <w:tc>
          <w:tcPr>
            <w:tcW w:w="6219"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5、6.25、10、12.5、25、50mm/s（±3%）</w:t>
            </w:r>
          </w:p>
        </w:tc>
      </w:tr>
      <w:tr>
        <w:tblPrEx>
          <w:tblCellMar>
            <w:top w:w="0" w:type="dxa"/>
            <w:left w:w="108" w:type="dxa"/>
            <w:bottom w:w="0" w:type="dxa"/>
            <w:right w:w="108" w:type="dxa"/>
          </w:tblCellMar>
        </w:tblPrEx>
        <w:trPr>
          <w:trHeight w:val="268" w:hRule="atLeast"/>
        </w:trPr>
        <w:tc>
          <w:tcPr>
            <w:tcW w:w="1776"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记录精度</w:t>
            </w:r>
          </w:p>
        </w:tc>
        <w:tc>
          <w:tcPr>
            <w:tcW w:w="905" w:type="dxa"/>
            <w:tcBorders>
              <w:top w:val="single" w:color="auto" w:sz="4" w:space="0"/>
              <w:left w:val="single" w:color="auto" w:sz="4" w:space="0"/>
              <w:bottom w:val="single" w:color="auto" w:sz="4" w:space="0"/>
              <w:right w:val="single" w:color="auto" w:sz="4"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±5%（X轴），±5%（Y轴）</w:t>
            </w:r>
          </w:p>
        </w:tc>
      </w:tr>
      <w:tr>
        <w:tblPrEx>
          <w:tblCellMar>
            <w:top w:w="0" w:type="dxa"/>
            <w:left w:w="108" w:type="dxa"/>
            <w:bottom w:w="0" w:type="dxa"/>
            <w:right w:w="108" w:type="dxa"/>
          </w:tblCellMar>
        </w:tblPrEx>
        <w:trPr>
          <w:trHeight w:val="268" w:hRule="atLeast"/>
        </w:trPr>
        <w:tc>
          <w:tcPr>
            <w:tcW w:w="1776"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记录通道：</w:t>
            </w:r>
          </w:p>
        </w:tc>
        <w:tc>
          <w:tcPr>
            <w:tcW w:w="905" w:type="dxa"/>
            <w:tcBorders>
              <w:top w:val="single" w:color="auto" w:sz="4" w:space="0"/>
              <w:left w:val="single" w:color="auto" w:sz="4" w:space="0"/>
              <w:bottom w:val="single" w:color="auto" w:sz="4" w:space="0"/>
              <w:right w:val="single" w:color="auto" w:sz="4"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3×4、3×4+1R、3×4+3R、6×2、6×2+1R、12×1</w:t>
            </w:r>
          </w:p>
        </w:tc>
      </w:tr>
      <w:tr>
        <w:tblPrEx>
          <w:tblCellMar>
            <w:top w:w="0" w:type="dxa"/>
            <w:left w:w="108" w:type="dxa"/>
            <w:bottom w:w="0" w:type="dxa"/>
            <w:right w:w="108" w:type="dxa"/>
          </w:tblCellMar>
        </w:tblPrEx>
        <w:trPr>
          <w:trHeight w:val="268" w:hRule="atLeast"/>
        </w:trPr>
        <w:tc>
          <w:tcPr>
            <w:tcW w:w="1776"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记录内容：</w:t>
            </w:r>
          </w:p>
        </w:tc>
        <w:tc>
          <w:tcPr>
            <w:tcW w:w="905" w:type="dxa"/>
            <w:tcBorders>
              <w:top w:val="single" w:color="auto" w:sz="4" w:space="0"/>
              <w:left w:val="single" w:color="auto" w:sz="4" w:space="0"/>
              <w:bottom w:val="single" w:color="auto" w:sz="4" w:space="0"/>
              <w:right w:val="single" w:color="auto" w:sz="4"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心电波形、分析结果、明尼苏达码、平均模板以及导联名称、走纸速度、增益、滤波器、日期、患者信息、标记等</w:t>
            </w:r>
          </w:p>
        </w:tc>
      </w:tr>
    </w:tbl>
    <w:p>
      <w:pPr>
        <w:numPr>
          <w:ilvl w:val="0"/>
          <w:numId w:val="7"/>
        </w:num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环境</w:t>
      </w:r>
    </w:p>
    <w:tbl>
      <w:tblPr>
        <w:tblStyle w:val="9"/>
        <w:tblW w:w="8900" w:type="dxa"/>
        <w:tblInd w:w="0" w:type="dxa"/>
        <w:tblLayout w:type="fixed"/>
        <w:tblCellMar>
          <w:top w:w="0" w:type="dxa"/>
          <w:left w:w="108" w:type="dxa"/>
          <w:bottom w:w="0" w:type="dxa"/>
          <w:right w:w="108" w:type="dxa"/>
        </w:tblCellMar>
      </w:tblPr>
      <w:tblGrid>
        <w:gridCol w:w="2132"/>
        <w:gridCol w:w="3612"/>
        <w:gridCol w:w="3156"/>
      </w:tblGrid>
      <w:tr>
        <w:tblPrEx>
          <w:tblCellMar>
            <w:top w:w="0" w:type="dxa"/>
            <w:left w:w="108" w:type="dxa"/>
            <w:bottom w:w="0" w:type="dxa"/>
            <w:right w:w="108" w:type="dxa"/>
          </w:tblCellMar>
        </w:tblPrEx>
        <w:trPr>
          <w:trHeight w:val="237" w:hRule="atLeast"/>
        </w:trPr>
        <w:tc>
          <w:tcPr>
            <w:tcW w:w="2132" w:type="dxa"/>
            <w:tcBorders>
              <w:top w:val="single" w:color="auto" w:sz="4" w:space="0"/>
              <w:left w:val="single" w:color="auto" w:sz="4" w:space="0"/>
              <w:bottom w:val="single" w:color="auto" w:sz="4" w:space="0"/>
              <w:right w:val="single" w:color="auto" w:sz="4" w:space="0"/>
            </w:tcBorders>
          </w:tcPr>
          <w:p>
            <w:pPr>
              <w:pStyle w:val="14"/>
              <w:spacing w:line="360" w:lineRule="auto"/>
              <w:rPr>
                <w:rFonts w:asciiTheme="minorEastAsia" w:hAnsiTheme="minorEastAsia" w:eastAsiaTheme="minorEastAsia" w:cstheme="minorEastAsia"/>
                <w:color w:val="auto"/>
              </w:rPr>
            </w:pPr>
          </w:p>
        </w:tc>
        <w:tc>
          <w:tcPr>
            <w:tcW w:w="3612"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运输和贮存</w:t>
            </w:r>
          </w:p>
        </w:tc>
        <w:tc>
          <w:tcPr>
            <w:tcW w:w="3156" w:type="dxa"/>
            <w:tcBorders>
              <w:top w:val="single" w:color="auto" w:sz="4" w:space="0"/>
              <w:left w:val="single" w:color="auto" w:sz="4" w:space="0"/>
              <w:bottom w:val="single" w:color="auto" w:sz="4" w:space="0"/>
              <w:right w:val="single" w:color="auto" w:sz="4" w:space="0"/>
            </w:tcBorders>
            <w:vAlign w:val="center"/>
          </w:tcPr>
          <w:p>
            <w:pPr>
              <w:pStyle w:val="14"/>
              <w:spacing w:line="360" w:lineRule="auto"/>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工作</w:t>
            </w:r>
          </w:p>
        </w:tc>
      </w:tr>
      <w:tr>
        <w:tblPrEx>
          <w:tblCellMar>
            <w:top w:w="0" w:type="dxa"/>
            <w:left w:w="108" w:type="dxa"/>
            <w:bottom w:w="0" w:type="dxa"/>
            <w:right w:w="108" w:type="dxa"/>
          </w:tblCellMar>
        </w:tblPrEx>
        <w:trPr>
          <w:trHeight w:val="233" w:hRule="atLeast"/>
        </w:trPr>
        <w:tc>
          <w:tcPr>
            <w:tcW w:w="2132"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温度范围 </w:t>
            </w:r>
          </w:p>
        </w:tc>
        <w:tc>
          <w:tcPr>
            <w:tcW w:w="3612"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-20℃ ~ +55℃</w:t>
            </w:r>
          </w:p>
        </w:tc>
        <w:tc>
          <w:tcPr>
            <w:tcW w:w="3156" w:type="dxa"/>
            <w:tcBorders>
              <w:top w:val="single" w:color="auto" w:sz="4" w:space="0"/>
              <w:left w:val="single" w:color="auto" w:sz="4" w:space="0"/>
              <w:bottom w:val="single" w:color="auto" w:sz="4" w:space="0"/>
              <w:right w:val="single" w:color="auto" w:sz="4" w:space="0"/>
            </w:tcBorders>
            <w:vAlign w:val="center"/>
          </w:tcPr>
          <w:p>
            <w:pPr>
              <w:pStyle w:val="14"/>
              <w:spacing w:line="360" w:lineRule="auto"/>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 +5℃ ~ +40℃</w:t>
            </w:r>
          </w:p>
        </w:tc>
      </w:tr>
      <w:tr>
        <w:tblPrEx>
          <w:tblCellMar>
            <w:top w:w="0" w:type="dxa"/>
            <w:left w:w="108" w:type="dxa"/>
            <w:bottom w:w="0" w:type="dxa"/>
            <w:right w:w="108" w:type="dxa"/>
          </w:tblCellMar>
        </w:tblPrEx>
        <w:trPr>
          <w:trHeight w:val="235" w:hRule="atLeast"/>
        </w:trPr>
        <w:tc>
          <w:tcPr>
            <w:tcW w:w="2132"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湿度范围 </w:t>
            </w:r>
          </w:p>
        </w:tc>
        <w:tc>
          <w:tcPr>
            <w:tcW w:w="3612"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25%~93%(无冷凝 ) </w:t>
            </w:r>
          </w:p>
        </w:tc>
        <w:tc>
          <w:tcPr>
            <w:tcW w:w="3156" w:type="dxa"/>
            <w:tcBorders>
              <w:top w:val="single" w:color="auto" w:sz="4" w:space="0"/>
              <w:left w:val="single" w:color="auto" w:sz="4" w:space="0"/>
              <w:bottom w:val="single" w:color="auto" w:sz="4" w:space="0"/>
              <w:right w:val="single" w:color="auto" w:sz="4" w:space="0"/>
            </w:tcBorders>
            <w:vAlign w:val="center"/>
          </w:tcPr>
          <w:p>
            <w:pPr>
              <w:pStyle w:val="14"/>
              <w:spacing w:line="360" w:lineRule="auto"/>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25%~80%(无冷凝 ) </w:t>
            </w:r>
          </w:p>
        </w:tc>
      </w:tr>
      <w:tr>
        <w:tblPrEx>
          <w:tblCellMar>
            <w:top w:w="0" w:type="dxa"/>
            <w:left w:w="108" w:type="dxa"/>
            <w:bottom w:w="0" w:type="dxa"/>
            <w:right w:w="108" w:type="dxa"/>
          </w:tblCellMar>
        </w:tblPrEx>
        <w:trPr>
          <w:trHeight w:val="227" w:hRule="atLeast"/>
        </w:trPr>
        <w:tc>
          <w:tcPr>
            <w:tcW w:w="2132"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大气压力范围 </w:t>
            </w:r>
          </w:p>
        </w:tc>
        <w:tc>
          <w:tcPr>
            <w:tcW w:w="3612"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700hPa ~1060hPa </w:t>
            </w:r>
          </w:p>
        </w:tc>
        <w:tc>
          <w:tcPr>
            <w:tcW w:w="3156" w:type="dxa"/>
            <w:tcBorders>
              <w:top w:val="single" w:color="auto" w:sz="4" w:space="0"/>
              <w:left w:val="single" w:color="auto" w:sz="4" w:space="0"/>
              <w:bottom w:val="single" w:color="auto" w:sz="4" w:space="0"/>
              <w:right w:val="single" w:color="auto" w:sz="4" w:space="0"/>
            </w:tcBorders>
            <w:vAlign w:val="center"/>
          </w:tcPr>
          <w:p>
            <w:pPr>
              <w:pStyle w:val="14"/>
              <w:spacing w:line="360" w:lineRule="auto"/>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860hPa ~1060hPa </w:t>
            </w:r>
          </w:p>
        </w:tc>
      </w:tr>
    </w:tbl>
    <w:p>
      <w:pPr>
        <w:numPr>
          <w:ilvl w:val="0"/>
          <w:numId w:val="7"/>
        </w:num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电源</w:t>
      </w:r>
    </w:p>
    <w:tbl>
      <w:tblPr>
        <w:tblStyle w:val="9"/>
        <w:tblW w:w="8900" w:type="dxa"/>
        <w:tblInd w:w="0" w:type="dxa"/>
        <w:tblLayout w:type="fixed"/>
        <w:tblCellMar>
          <w:top w:w="0" w:type="dxa"/>
          <w:left w:w="108" w:type="dxa"/>
          <w:bottom w:w="0" w:type="dxa"/>
          <w:right w:w="108" w:type="dxa"/>
        </w:tblCellMar>
      </w:tblPr>
      <w:tblGrid>
        <w:gridCol w:w="2681"/>
        <w:gridCol w:w="6219"/>
      </w:tblGrid>
      <w:tr>
        <w:tblPrEx>
          <w:tblCellMar>
            <w:top w:w="0" w:type="dxa"/>
            <w:left w:w="108" w:type="dxa"/>
            <w:bottom w:w="0" w:type="dxa"/>
            <w:right w:w="108" w:type="dxa"/>
          </w:tblCellMar>
        </w:tblPrEx>
        <w:trPr>
          <w:trHeight w:val="271" w:hRule="atLeast"/>
        </w:trPr>
        <w:tc>
          <w:tcPr>
            <w:tcW w:w="2681" w:type="dxa"/>
            <w:tcBorders>
              <w:top w:val="single" w:color="auto" w:sz="4" w:space="0"/>
              <w:left w:val="single" w:color="auto" w:sz="4" w:space="0"/>
              <w:bottom w:val="single" w:color="auto" w:sz="4" w:space="0"/>
              <w:right w:val="single" w:color="auto" w:sz="4" w:space="0"/>
            </w:tcBorders>
            <w:vAlign w:val="center"/>
          </w:tcPr>
          <w:p>
            <w:pPr>
              <w:pStyle w:val="14"/>
              <w:spacing w:line="360" w:lineRule="auto"/>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交流电源 </w:t>
            </w:r>
          </w:p>
        </w:tc>
        <w:tc>
          <w:tcPr>
            <w:tcW w:w="6219"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额定电压＝100V-240V~ </w:t>
            </w:r>
          </w:p>
        </w:tc>
      </w:tr>
      <w:tr>
        <w:tblPrEx>
          <w:tblCellMar>
            <w:top w:w="0" w:type="dxa"/>
            <w:left w:w="108" w:type="dxa"/>
            <w:bottom w:w="0" w:type="dxa"/>
            <w:right w:w="108" w:type="dxa"/>
          </w:tblCellMar>
        </w:tblPrEx>
        <w:trPr>
          <w:trHeight w:val="276" w:hRule="atLeast"/>
        </w:trPr>
        <w:tc>
          <w:tcPr>
            <w:tcW w:w="2681" w:type="dxa"/>
            <w:tcBorders>
              <w:top w:val="single" w:color="auto" w:sz="4" w:space="0"/>
              <w:left w:val="single" w:color="auto" w:sz="4" w:space="0"/>
              <w:bottom w:val="single" w:color="auto" w:sz="4" w:space="0"/>
              <w:right w:val="single" w:color="auto" w:sz="4" w:space="0"/>
            </w:tcBorders>
          </w:tcPr>
          <w:p>
            <w:pPr>
              <w:pStyle w:val="14"/>
              <w:spacing w:line="360" w:lineRule="auto"/>
              <w:rPr>
                <w:rFonts w:asciiTheme="minorEastAsia" w:hAnsiTheme="minorEastAsia" w:eastAsiaTheme="minorEastAsia" w:cstheme="minorEastAsia"/>
                <w:color w:val="auto"/>
              </w:rPr>
            </w:pPr>
          </w:p>
        </w:tc>
        <w:tc>
          <w:tcPr>
            <w:tcW w:w="6219"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额定频率＝50Hz/60Hz </w:t>
            </w:r>
          </w:p>
        </w:tc>
      </w:tr>
      <w:tr>
        <w:tblPrEx>
          <w:tblCellMar>
            <w:top w:w="0" w:type="dxa"/>
            <w:left w:w="108" w:type="dxa"/>
            <w:bottom w:w="0" w:type="dxa"/>
            <w:right w:w="108" w:type="dxa"/>
          </w:tblCellMar>
        </w:tblPrEx>
        <w:trPr>
          <w:trHeight w:val="498" w:hRule="atLeast"/>
        </w:trPr>
        <w:tc>
          <w:tcPr>
            <w:tcW w:w="2681" w:type="dxa"/>
            <w:vMerge w:val="restart"/>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直流电源（内置可充电锂电池）</w:t>
            </w:r>
          </w:p>
        </w:tc>
        <w:tc>
          <w:tcPr>
            <w:tcW w:w="6219"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SE-1200 额定容量：2500mAh</w:t>
            </w:r>
          </w:p>
        </w:tc>
      </w:tr>
      <w:tr>
        <w:tblPrEx>
          <w:tblCellMar>
            <w:top w:w="0" w:type="dxa"/>
            <w:left w:w="108" w:type="dxa"/>
            <w:bottom w:w="0" w:type="dxa"/>
            <w:right w:w="108" w:type="dxa"/>
          </w:tblCellMar>
        </w:tblPrEx>
        <w:trPr>
          <w:trHeight w:val="1227" w:hRule="atLeast"/>
        </w:trPr>
        <w:tc>
          <w:tcPr>
            <w:tcW w:w="2681" w:type="dxa"/>
            <w:vMerge w:val="continue"/>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p>
        </w:tc>
        <w:tc>
          <w:tcPr>
            <w:tcW w:w="6219" w:type="dxa"/>
            <w:tcBorders>
              <w:top w:val="single" w:color="auto" w:sz="4" w:space="0"/>
              <w:left w:val="single" w:color="auto" w:sz="4" w:space="0"/>
              <w:bottom w:val="single" w:color="auto" w:sz="4" w:space="0"/>
              <w:right w:val="single" w:color="auto" w:sz="4" w:space="0"/>
            </w:tcBorders>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在23ºC（±3ºC），新电池充满电后，SE-1200 （配置额定容量为2500mAh 时）可正常工作不小于3.5 小时，在自动模式下能记录不小于300 份3×4+1R 类型的心电图，在手动模式下可以连续记录不小于1.5 小时。</w:t>
            </w:r>
          </w:p>
        </w:tc>
      </w:tr>
      <w:tr>
        <w:tblPrEx>
          <w:tblCellMar>
            <w:top w:w="0" w:type="dxa"/>
            <w:left w:w="108" w:type="dxa"/>
            <w:bottom w:w="0" w:type="dxa"/>
            <w:right w:w="108" w:type="dxa"/>
          </w:tblCellMar>
        </w:tblPrEx>
        <w:trPr>
          <w:trHeight w:val="268" w:hRule="atLeast"/>
        </w:trPr>
        <w:tc>
          <w:tcPr>
            <w:tcW w:w="2681" w:type="dxa"/>
            <w:vMerge w:val="continue"/>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p>
        </w:tc>
        <w:tc>
          <w:tcPr>
            <w:tcW w:w="6219"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额定电压＝14.8V </w:t>
            </w:r>
          </w:p>
        </w:tc>
      </w:tr>
      <w:tr>
        <w:tblPrEx>
          <w:tblCellMar>
            <w:top w:w="0" w:type="dxa"/>
            <w:left w:w="108" w:type="dxa"/>
            <w:bottom w:w="0" w:type="dxa"/>
            <w:right w:w="108" w:type="dxa"/>
          </w:tblCellMar>
        </w:tblPrEx>
        <w:trPr>
          <w:trHeight w:val="270" w:hRule="atLeast"/>
        </w:trPr>
        <w:tc>
          <w:tcPr>
            <w:tcW w:w="2681" w:type="dxa"/>
            <w:vMerge w:val="continue"/>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p>
        </w:tc>
        <w:tc>
          <w:tcPr>
            <w:tcW w:w="6219"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充电方式：恒流/恒压 </w:t>
            </w:r>
          </w:p>
        </w:tc>
      </w:tr>
      <w:tr>
        <w:tblPrEx>
          <w:tblCellMar>
            <w:top w:w="0" w:type="dxa"/>
            <w:left w:w="108" w:type="dxa"/>
            <w:bottom w:w="0" w:type="dxa"/>
            <w:right w:w="108" w:type="dxa"/>
          </w:tblCellMar>
        </w:tblPrEx>
        <w:trPr>
          <w:trHeight w:val="498" w:hRule="atLeast"/>
        </w:trPr>
        <w:tc>
          <w:tcPr>
            <w:tcW w:w="2681" w:type="dxa"/>
            <w:vMerge w:val="continue"/>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p>
        </w:tc>
        <w:tc>
          <w:tcPr>
            <w:tcW w:w="6219"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SE-1200充电时间： 3小时</w:t>
            </w:r>
          </w:p>
        </w:tc>
      </w:tr>
      <w:tr>
        <w:tblPrEx>
          <w:tblCellMar>
            <w:top w:w="0" w:type="dxa"/>
            <w:left w:w="108" w:type="dxa"/>
            <w:bottom w:w="0" w:type="dxa"/>
            <w:right w:w="108" w:type="dxa"/>
          </w:tblCellMar>
        </w:tblPrEx>
        <w:trPr>
          <w:trHeight w:val="268" w:hRule="atLeast"/>
        </w:trPr>
        <w:tc>
          <w:tcPr>
            <w:tcW w:w="2681" w:type="dxa"/>
            <w:vMerge w:val="continue"/>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p>
        </w:tc>
        <w:tc>
          <w:tcPr>
            <w:tcW w:w="6219"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循环寿命≥300次</w:t>
            </w:r>
          </w:p>
        </w:tc>
      </w:tr>
      <w:tr>
        <w:tblPrEx>
          <w:tblCellMar>
            <w:top w:w="0" w:type="dxa"/>
            <w:left w:w="108" w:type="dxa"/>
            <w:bottom w:w="0" w:type="dxa"/>
            <w:right w:w="108" w:type="dxa"/>
          </w:tblCellMar>
        </w:tblPrEx>
        <w:trPr>
          <w:trHeight w:val="268" w:hRule="atLeast"/>
        </w:trPr>
        <w:tc>
          <w:tcPr>
            <w:tcW w:w="2681"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输入功率</w:t>
            </w:r>
          </w:p>
        </w:tc>
        <w:tc>
          <w:tcPr>
            <w:tcW w:w="6219" w:type="dxa"/>
            <w:tcBorders>
              <w:top w:val="single" w:color="auto" w:sz="4" w:space="0"/>
              <w:left w:val="single" w:color="auto" w:sz="4" w:space="0"/>
              <w:bottom w:val="single" w:color="auto" w:sz="4" w:space="0"/>
              <w:right w:val="single" w:color="auto" w:sz="4" w:space="0"/>
            </w:tcBorders>
            <w:vAlign w:val="center"/>
          </w:tcPr>
          <w:p>
            <w:pPr>
              <w:pStyle w:val="14"/>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0.9A-0.4A</w:t>
            </w:r>
          </w:p>
        </w:tc>
      </w:tr>
    </w:tbl>
    <w:p>
      <w:pPr>
        <w:numPr>
          <w:ilvl w:val="0"/>
          <w:numId w:val="7"/>
        </w:num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性能优点：</w:t>
      </w:r>
    </w:p>
    <w:p>
      <w:pPr>
        <w:spacing w:line="360" w:lineRule="auto"/>
        <w:rPr>
          <w:rFonts w:asciiTheme="minorEastAsia" w:hAnsiTheme="minorEastAsia" w:eastAsiaTheme="minorEastAsia" w:cstheme="minorEastAsia"/>
          <w:sz w:val="24"/>
        </w:rPr>
      </w:pPr>
      <w:r>
        <w:rPr>
          <w:rFonts w:hint="eastAsia" w:asciiTheme="minorEastAsia" w:hAnsiTheme="minorEastAsia" w:cstheme="minorEastAsia"/>
          <w:sz w:val="24"/>
        </w:rPr>
        <w:t>1、</w:t>
      </w:r>
      <w:r>
        <w:rPr>
          <w:rFonts w:hint="eastAsia" w:asciiTheme="minorEastAsia" w:hAnsiTheme="minorEastAsia" w:eastAsiaTheme="minorEastAsia" w:cstheme="minorEastAsia"/>
          <w:sz w:val="24"/>
        </w:rPr>
        <w:t>8.0英寸彩色LCD显示十二导联同步心电波形，显示背景网格，可实现在屏诊断</w:t>
      </w:r>
    </w:p>
    <w:p>
      <w:pPr>
        <w:spacing w:line="360" w:lineRule="auto"/>
        <w:rPr>
          <w:rFonts w:asciiTheme="minorEastAsia" w:hAnsiTheme="minorEastAsia" w:eastAsiaTheme="minorEastAsia" w:cstheme="minorEastAsia"/>
          <w:sz w:val="24"/>
        </w:rPr>
      </w:pPr>
      <w:r>
        <w:rPr>
          <w:rFonts w:hint="eastAsia" w:asciiTheme="minorEastAsia" w:hAnsiTheme="minorEastAsia" w:cstheme="minorEastAsia"/>
          <w:sz w:val="24"/>
        </w:rPr>
        <w:t>2、</w:t>
      </w:r>
      <w:r>
        <w:rPr>
          <w:rFonts w:hint="eastAsia" w:asciiTheme="minorEastAsia" w:hAnsiTheme="minorEastAsia" w:eastAsiaTheme="minorEastAsia" w:cstheme="minorEastAsia"/>
          <w:sz w:val="24"/>
        </w:rPr>
        <w:t>具有信号检测功能，对于信号质量不佳的导联做出指示，保证波形采集的质量</w:t>
      </w:r>
    </w:p>
    <w:p>
      <w:pPr>
        <w:spacing w:line="360" w:lineRule="auto"/>
        <w:rPr>
          <w:rFonts w:asciiTheme="minorEastAsia" w:hAnsiTheme="minorEastAsia" w:eastAsiaTheme="minorEastAsia" w:cstheme="minorEastAsia"/>
          <w:sz w:val="24"/>
        </w:rPr>
      </w:pPr>
      <w:r>
        <w:rPr>
          <w:rFonts w:hint="eastAsia" w:asciiTheme="minorEastAsia" w:hAnsiTheme="minorEastAsia" w:cstheme="minorEastAsia"/>
          <w:sz w:val="24"/>
        </w:rPr>
        <w:t>3、</w:t>
      </w:r>
      <w:r>
        <w:rPr>
          <w:rFonts w:hint="eastAsia" w:asciiTheme="minorEastAsia" w:hAnsiTheme="minorEastAsia" w:eastAsiaTheme="minorEastAsia" w:cstheme="minorEastAsia"/>
          <w:sz w:val="24"/>
        </w:rPr>
        <w:t>支持中文输入法,能输入和打印含医院中文名称和病人中文姓名的中文报告单</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直接功能键和标准键盘，直观、易用</w:t>
      </w:r>
    </w:p>
    <w:p>
      <w:pPr>
        <w:spacing w:line="360" w:lineRule="auto"/>
        <w:rPr>
          <w:rFonts w:asciiTheme="minorEastAsia" w:hAnsiTheme="minorEastAsia" w:eastAsiaTheme="minorEastAsia" w:cstheme="minorEastAsia"/>
          <w:sz w:val="24"/>
        </w:rPr>
      </w:pPr>
      <w:r>
        <w:rPr>
          <w:rFonts w:hint="eastAsia" w:asciiTheme="minorEastAsia" w:hAnsiTheme="minorEastAsia" w:cstheme="minorEastAsia"/>
          <w:sz w:val="24"/>
        </w:rPr>
        <w:t>4、</w:t>
      </w:r>
      <w:r>
        <w:rPr>
          <w:rFonts w:hint="eastAsia" w:asciiTheme="minorEastAsia" w:hAnsiTheme="minorEastAsia" w:eastAsiaTheme="minorEastAsia" w:cstheme="minorEastAsia"/>
          <w:sz w:val="24"/>
        </w:rPr>
        <w:t>具有睡眠模式，降低功耗，延长液晶屏寿命</w:t>
      </w:r>
    </w:p>
    <w:p>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多种数据传输方式</w:t>
      </w:r>
    </w:p>
    <w:p>
      <w:pPr>
        <w:numPr>
          <w:ilvl w:val="0"/>
          <w:numId w:val="8"/>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RJ45， RS-232网络接口，方便数据传输</w:t>
      </w:r>
    </w:p>
    <w:p>
      <w:pPr>
        <w:numPr>
          <w:ilvl w:val="0"/>
          <w:numId w:val="8"/>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USB接口，方便数据存储</w:t>
      </w:r>
    </w:p>
    <w:p>
      <w:pPr>
        <w:numPr>
          <w:ilvl w:val="0"/>
          <w:numId w:val="8"/>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过3G对数据进行传输</w:t>
      </w:r>
    </w:p>
    <w:p>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性能特点</w:t>
      </w:r>
    </w:p>
    <w:p>
      <w:pPr>
        <w:numPr>
          <w:ilvl w:val="0"/>
          <w:numId w:val="8"/>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全数字滤波器设计，交流滤波器、肌电滤波器及低通滤波器，减小波形的干扰，提高记录质量，避免诊断的误差。专利0.67Hz基线漂移滤波器，保证波形在不失真的情况下，基线快速平稳</w:t>
      </w:r>
    </w:p>
    <w:p>
      <w:pPr>
        <w:numPr>
          <w:ilvl w:val="0"/>
          <w:numId w:val="8"/>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通过欧洲CSE数据库测试的SEMIP心电自动分析系统，测量值准确，能对200多种心脏疾病做出诊断，可辅助医生进行诊断</w:t>
      </w:r>
    </w:p>
    <w:p>
      <w:pPr>
        <w:numPr>
          <w:ilvl w:val="0"/>
          <w:numId w:val="8"/>
        </w:numPr>
        <w:autoSpaceDE w:val="0"/>
        <w:autoSpaceDN w:val="0"/>
        <w:adjustRightInd w:val="0"/>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手动、自动、节律、R-R、心电向量（选配）工作模式可供选择,功能强大</w:t>
      </w:r>
    </w:p>
    <w:p>
      <w:pPr>
        <w:numPr>
          <w:ilvl w:val="0"/>
          <w:numId w:val="8"/>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具有周期记录模式,适用于药物试验或二阶梯运动试验 </w:t>
      </w:r>
    </w:p>
    <w:p>
      <w:pPr>
        <w:numPr>
          <w:ilvl w:val="0"/>
          <w:numId w:val="8"/>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R-R间期检测，并将R-R趋势测量报告连同心电波形一并给出</w:t>
      </w:r>
    </w:p>
    <w:p>
      <w:pPr>
        <w:numPr>
          <w:ilvl w:val="0"/>
          <w:numId w:val="8"/>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支持长时间波形冻结和波形电影回放，支持波形冻结后再编辑打印</w:t>
      </w:r>
    </w:p>
    <w:p>
      <w:pPr>
        <w:numPr>
          <w:ilvl w:val="0"/>
          <w:numId w:val="8"/>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支持自动检测并触发打印心律失常</w:t>
      </w:r>
    </w:p>
    <w:p>
      <w:pPr>
        <w:numPr>
          <w:ilvl w:val="0"/>
          <w:numId w:val="8"/>
        </w:numPr>
        <w:autoSpaceDE w:val="0"/>
        <w:autoSpaceDN w:val="0"/>
        <w:adjustRightInd w:val="0"/>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具有“快速”和“省纸”两种打印模式，尤其适合体检</w:t>
      </w:r>
    </w:p>
    <w:p>
      <w:pPr>
        <w:numPr>
          <w:ilvl w:val="0"/>
          <w:numId w:val="8"/>
        </w:numPr>
        <w:autoSpaceDE w:val="0"/>
        <w:autoSpaceDN w:val="0"/>
        <w:adjustRightInd w:val="0"/>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支持病人预约功能，</w:t>
      </w:r>
      <w:r>
        <w:rPr>
          <w:rFonts w:hint="eastAsia" w:asciiTheme="minorEastAsia" w:hAnsiTheme="minorEastAsia" w:eastAsiaTheme="minorEastAsia" w:cstheme="minorEastAsia"/>
          <w:sz w:val="24"/>
        </w:rPr>
        <w:t>可以从数据管理软件/心电图机上下载病人预约信息，减少医生工作量</w:t>
      </w:r>
    </w:p>
    <w:p>
      <w:pPr>
        <w:numPr>
          <w:ilvl w:val="0"/>
          <w:numId w:val="8"/>
        </w:numPr>
        <w:autoSpaceDE w:val="0"/>
        <w:autoSpaceDN w:val="0"/>
        <w:adjustRightInd w:val="0"/>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支持一维码，二维码条码扫描仪，社保卡阅读器和身份证阅读器快速输入病人信息，减少医生工作量</w:t>
      </w:r>
    </w:p>
    <w:p>
      <w:pPr>
        <w:numPr>
          <w:ilvl w:val="0"/>
          <w:numId w:val="8"/>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支持外接USB打印机；</w:t>
      </w:r>
    </w:p>
    <w:p>
      <w:pPr>
        <w:numPr>
          <w:ilvl w:val="0"/>
          <w:numId w:val="8"/>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病例机内存储800例，支持外接U盘可扩展存储空间，具有病例的导入导出功能</w:t>
      </w:r>
    </w:p>
    <w:p>
      <w:pPr>
        <w:numPr>
          <w:ilvl w:val="0"/>
          <w:numId w:val="8"/>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具有病例管理功能，可进行病历查询、预览、修改、传输、打印，方便医生调阅病人信息</w:t>
      </w:r>
    </w:p>
    <w:p>
      <w:pPr>
        <w:numPr>
          <w:ilvl w:val="0"/>
          <w:numId w:val="8"/>
        </w:numPr>
        <w:autoSpaceDE w:val="0"/>
        <w:autoSpaceDN w:val="0"/>
        <w:adjustRightInd w:val="0"/>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心电数据可以通过串口线、网线，3G（选配）传输至PC软件</w:t>
      </w:r>
    </w:p>
    <w:p>
      <w:pPr>
        <w:numPr>
          <w:ilvl w:val="0"/>
          <w:numId w:val="8"/>
        </w:numPr>
        <w:autoSpaceDE w:val="0"/>
        <w:autoSpaceDN w:val="0"/>
        <w:adjustRightInd w:val="0"/>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支持多种文件格式（DAT、PDF及选配文件格式SCP/FDA-XML/DICOM）的输出，满足医院信息化需求</w:t>
      </w:r>
    </w:p>
    <w:p>
      <w:pPr>
        <w:numPr>
          <w:ilvl w:val="0"/>
          <w:numId w:val="8"/>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kern w:val="0"/>
          <w:sz w:val="24"/>
        </w:rPr>
        <w:t>具有交直流两用供电模式，机内安装有环保充电电池，可支持长时间使用</w:t>
      </w:r>
      <w:r>
        <w:rPr>
          <w:rFonts w:hint="eastAsia" w:asciiTheme="minorEastAsia" w:hAnsiTheme="minorEastAsia" w:eastAsiaTheme="minorEastAsia" w:cstheme="minorEastAsia"/>
          <w:sz w:val="24"/>
        </w:rPr>
        <w:t xml:space="preserve"> </w:t>
      </w:r>
    </w:p>
    <w:p>
      <w:pPr>
        <w:numPr>
          <w:ilvl w:val="0"/>
          <w:numId w:val="8"/>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支持在线升级功能；</w:t>
      </w:r>
    </w:p>
    <w:p>
      <w:pPr>
        <w:numPr>
          <w:ilvl w:val="0"/>
          <w:numId w:val="8"/>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通过CE认证,通过FDA注册，通过UL认证及CMD认证</w:t>
      </w:r>
    </w:p>
    <w:p>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扩展功能</w:t>
      </w:r>
    </w:p>
    <w:p>
      <w:pPr>
        <w:numPr>
          <w:ilvl w:val="0"/>
          <w:numId w:val="8"/>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心电向量功能</w:t>
      </w:r>
    </w:p>
    <w:p>
      <w:pPr>
        <w:numPr>
          <w:ilvl w:val="0"/>
          <w:numId w:val="8"/>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可接入心电数据管理系统：Smart ECG Viewer，Smart ECG Net</w:t>
      </w:r>
    </w:p>
    <w:p/>
    <w:p>
      <w:pPr>
        <w:pStyle w:val="2"/>
        <w:numPr>
          <w:ilvl w:val="0"/>
          <w:numId w:val="6"/>
        </w:numPr>
        <w:ind w:firstLine="0"/>
        <w:rPr>
          <w:b/>
          <w:bCs/>
          <w:szCs w:val="28"/>
        </w:rPr>
      </w:pPr>
      <w:r>
        <w:rPr>
          <w:rFonts w:hint="eastAsia"/>
          <w:b/>
          <w:bCs/>
          <w:szCs w:val="28"/>
        </w:rPr>
        <w:t>便携笔记本式彩超</w:t>
      </w:r>
    </w:p>
    <w:p>
      <w:pPr>
        <w:spacing w:line="360" w:lineRule="auto"/>
        <w:rPr>
          <w:rFonts w:asciiTheme="minorEastAsia" w:hAnsiTheme="minorEastAsia" w:eastAsiaTheme="minorEastAsia" w:cstheme="minorEastAsia"/>
          <w:sz w:val="24"/>
        </w:rPr>
      </w:pP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产品用途说明</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腹部、妇科、产科、浅表组织与小器官、外周血管、</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介入性超声等全身应用</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三、主要规格及系统概述：</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3．1彩色多谱勒超声波诊断仪包括：</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3.1.1  二维灰阶成像部件</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3.1.2  彩色多谱勒超声波诊断部件</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3.1.3  频谱多谱勒显示及分析系统</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3.1.4  多谱勒能量图，包括速度图和方向能量图</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3.1.5  二维角度独立偏转技术</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3.1.6  凸阵扩展成像技术 ，线阵探头梯形成像技术</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3.1.7  支持一键自动优化（包括应用于二维、COLOR、PW、CW）</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3.1.8  图像局部放大功能(实时和冻结放大，放大倍率≥10倍)</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3.1.9  回声信号离线分析及处理（要求支持动态范围、频谱基线、图像效果等处理）</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 3.1.10  双探头图像同屏对比显示。</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▲3.1.11  支持智能全屏放大实时显示功能</w:t>
      </w:r>
    </w:p>
    <w:p>
      <w:pPr>
        <w:spacing w:line="360" w:lineRule="auto"/>
        <w:rPr>
          <w:rFonts w:asciiTheme="minorEastAsia" w:hAnsiTheme="minorEastAsia" w:eastAsiaTheme="minorEastAsia" w:cstheme="minorEastAsia"/>
          <w:sz w:val="24"/>
        </w:rPr>
      </w:pP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测量和分析:(B型,M型,频谱多谱勒,彩色多谱勒)</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3.2.1  常规测量（距离测量、椭圆及描迹测量面积周长、体积测量）; 多普勒测量及分析（自动或手动包络测量，自动计算测量参数）</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3.2.2  全科测量软件包，包括产科、妇科、腹部、血管测量包。</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3.3    图像存储与(电影)回放重现单元：支持同步存储(支持单帧图像文件和电影文件)，即后台存储的同时前台可以完成实时扫描。直接一键存储至硬盘或USB储存介质，无需格式转换。</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3.3.1 ▲对已存储的文件可以同屏调出两幅以上图像进行对比。</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3.4    内置一体化工作站：数字化超声图像硬盘存储≥320G</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3.5   输入/输出信号:</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3.5.1  输入: VCR, 外部视频, RGB彩色视频</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3.5.2  输出: 复合视频, RGB彩色视频, S---视频</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四. 技术参数及要求</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4.1 系统通用功能</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▲4.1.1  监视器:≥15寸高清晰、医用专业彩色液晶显示器，显示器开合角度可调节，0-150°（要求提供技术规格书）</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▲4.1.2  主机重量≤6.5kg，不带电池重量≤5.8kg</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4.1.3可支持凸阵、线阵，主机机身探头接口≥1个 </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4.1.4主机机身自带 ≥2个USB2.0接口</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4.2  探头规格</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4.2.1  频率:  宽频带变频探头，二维和彩色独立变频</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凸阵探头，带宽：2.5-6MHz</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线阵探头，带宽：5.0-10 MHz</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心脏相控阵探头，带宽：2-5MHz</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4.2.2  线阵探头具备穿刺中位线，有利于穿刺引导</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4.3、最大扫描深度≥300mm</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4.4、体位标记：≥120种，可以自定义注释</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五、彩色多普勒：</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5.1、多普勒频率≥2段可视可独立调节</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5.2、B/Color双幅实时显示</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六、频谱多普勒：</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6.1、支持脉冲多普勒（PW），高脉冲重复频率（HPRF）,连续多普勒（CW）模式</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6.2、取样宽度及位置范围：0.5mm~20mm</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6.3、线阵探头多普勒取样线偏转±20o可调</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6.4、多普勒取样音可开关，音量大小可调</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七、配置清单：</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主机壹套，腹部探头壹个，线阵探头壹个。</w:t>
      </w:r>
    </w:p>
    <w:p>
      <w:pPr>
        <w:numPr>
          <w:ilvl w:val="0"/>
          <w:numId w:val="6"/>
        </w:numPr>
        <w:spacing w:line="360" w:lineRule="auto"/>
        <w:rPr>
          <w:b/>
          <w:bCs/>
          <w:sz w:val="28"/>
          <w:szCs w:val="28"/>
        </w:rPr>
      </w:pPr>
      <w:r>
        <w:rPr>
          <w:rFonts w:hint="eastAsia"/>
          <w:b/>
          <w:bCs/>
          <w:sz w:val="28"/>
          <w:szCs w:val="28"/>
        </w:rPr>
        <w:t>血气分析仪</w:t>
      </w:r>
    </w:p>
    <w:p>
      <w:pPr>
        <w:spacing w:line="360" w:lineRule="auto"/>
        <w:rPr>
          <w:rFonts w:asciiTheme="minorEastAsia" w:hAnsiTheme="minorEastAsia" w:cstheme="minorEastAsia"/>
          <w:b/>
          <w:bCs/>
          <w:sz w:val="24"/>
        </w:rPr>
      </w:pPr>
      <w:r>
        <w:rPr>
          <w:rFonts w:hint="eastAsia" w:asciiTheme="minorEastAsia" w:hAnsiTheme="minorEastAsia" w:cstheme="minorEastAsia"/>
          <w:b/>
          <w:bCs/>
          <w:sz w:val="24"/>
        </w:rPr>
        <w:t>一、技术参数</w:t>
      </w:r>
    </w:p>
    <w:p>
      <w:pPr>
        <w:spacing w:line="360" w:lineRule="auto"/>
        <w:rPr>
          <w:rFonts w:asciiTheme="minorEastAsia" w:hAnsiTheme="minorEastAsia" w:eastAsiaTheme="minorEastAsia" w:cstheme="minorEastAsia"/>
          <w:sz w:val="24"/>
        </w:rPr>
      </w:pPr>
      <w:r>
        <w:rPr>
          <w:rFonts w:hint="eastAsia" w:asciiTheme="minorEastAsia" w:hAnsiTheme="minorEastAsia" w:cstheme="minorEastAsia"/>
          <w:sz w:val="24"/>
        </w:rPr>
        <w:t>1</w:t>
      </w:r>
      <w:r>
        <w:rPr>
          <w:rFonts w:hint="eastAsia" w:asciiTheme="minorEastAsia" w:hAnsiTheme="minorEastAsia" w:eastAsiaTheme="minorEastAsia" w:cstheme="minorEastAsia"/>
          <w:sz w:val="24"/>
        </w:rPr>
        <w:t>、测量原理：干化学法</w:t>
      </w:r>
    </w:p>
    <w:p>
      <w:pPr>
        <w:spacing w:line="360" w:lineRule="auto"/>
        <w:rPr>
          <w:rFonts w:asciiTheme="minorEastAsia" w:hAnsiTheme="minorEastAsia" w:eastAsiaTheme="minorEastAsia" w:cstheme="minorEastAsia"/>
          <w:sz w:val="24"/>
        </w:rPr>
      </w:pPr>
      <w:r>
        <w:rPr>
          <w:rFonts w:hint="eastAsia" w:asciiTheme="minorEastAsia" w:hAnsiTheme="minorEastAsia" w:cstheme="minorEastAsia"/>
          <w:sz w:val="24"/>
        </w:rPr>
        <w:t>2</w:t>
      </w:r>
      <w:r>
        <w:rPr>
          <w:rFonts w:hint="eastAsia" w:asciiTheme="minorEastAsia" w:hAnsiTheme="minorEastAsia" w:eastAsiaTheme="minorEastAsia" w:cstheme="minorEastAsia"/>
          <w:sz w:val="24"/>
        </w:rPr>
        <w:t>、▲测量速度：从开始抽血测量本次样本到给出本次样本结果≤45S</w:t>
      </w:r>
    </w:p>
    <w:p>
      <w:pPr>
        <w:spacing w:line="360" w:lineRule="auto"/>
        <w:rPr>
          <w:rFonts w:asciiTheme="minorEastAsia" w:hAnsiTheme="minorEastAsia" w:eastAsiaTheme="minorEastAsia" w:cstheme="minorEastAsia"/>
          <w:sz w:val="24"/>
        </w:rPr>
      </w:pPr>
      <w:r>
        <w:rPr>
          <w:rFonts w:hint="eastAsia" w:asciiTheme="minorEastAsia" w:hAnsiTheme="minorEastAsia" w:cstheme="minorEastAsia"/>
          <w:sz w:val="24"/>
        </w:rPr>
        <w:t>3</w:t>
      </w:r>
      <w:r>
        <w:rPr>
          <w:rFonts w:hint="eastAsia" w:asciiTheme="minorEastAsia" w:hAnsiTheme="minorEastAsia" w:eastAsiaTheme="minorEastAsia" w:cstheme="minorEastAsia"/>
          <w:sz w:val="24"/>
        </w:rPr>
        <w:t>、▲测试项目：PH、PO</w:t>
      </w:r>
      <w:r>
        <w:rPr>
          <w:rFonts w:hint="eastAsia" w:asciiTheme="minorEastAsia" w:hAnsiTheme="minorEastAsia" w:eastAsiaTheme="minorEastAsia" w:cstheme="minorEastAsia"/>
          <w:sz w:val="24"/>
          <w:vertAlign w:val="subscript"/>
        </w:rPr>
        <w:t>2</w:t>
      </w:r>
      <w:r>
        <w:rPr>
          <w:rFonts w:hint="eastAsia" w:asciiTheme="minorEastAsia" w:hAnsiTheme="minorEastAsia" w:eastAsiaTheme="minorEastAsia" w:cstheme="minorEastAsia"/>
          <w:sz w:val="24"/>
        </w:rPr>
        <w:t>、PCO</w:t>
      </w:r>
      <w:r>
        <w:rPr>
          <w:rFonts w:hint="eastAsia" w:asciiTheme="minorEastAsia" w:hAnsiTheme="minorEastAsia" w:eastAsiaTheme="minorEastAsia" w:cstheme="minorEastAsia"/>
          <w:sz w:val="24"/>
          <w:vertAlign w:val="subscript"/>
        </w:rPr>
        <w:t>2</w:t>
      </w:r>
      <w:r>
        <w:rPr>
          <w:rFonts w:hint="eastAsia" w:asciiTheme="minorEastAsia" w:hAnsiTheme="minorEastAsia" w:eastAsiaTheme="minorEastAsia" w:cstheme="minorEastAsia"/>
          <w:sz w:val="24"/>
        </w:rPr>
        <w:t>、Na＋、K＋，CL-,Ca++, Hct，Lac，Glu并且该十项参数只需一张试剂卡即可完成</w:t>
      </w:r>
    </w:p>
    <w:p>
      <w:pPr>
        <w:spacing w:line="360" w:lineRule="auto"/>
        <w:rPr>
          <w:rFonts w:asciiTheme="minorEastAsia" w:hAnsiTheme="minorEastAsia" w:eastAsiaTheme="minorEastAsia" w:cstheme="minorEastAsia"/>
          <w:sz w:val="24"/>
        </w:rPr>
      </w:pPr>
      <w:r>
        <w:rPr>
          <w:rFonts w:hint="eastAsia" w:asciiTheme="minorEastAsia" w:hAnsiTheme="minorEastAsia" w:cstheme="minorEastAsia"/>
          <w:sz w:val="24"/>
        </w:rPr>
        <w:t>4</w:t>
      </w:r>
      <w:r>
        <w:rPr>
          <w:rFonts w:hint="eastAsia" w:asciiTheme="minorEastAsia" w:hAnsiTheme="minorEastAsia" w:eastAsiaTheme="minorEastAsia" w:cstheme="minorEastAsia"/>
          <w:sz w:val="24"/>
        </w:rPr>
        <w:t>、计算项目：cH+，HCO3-act，HCO3-std，BE(ecf)，BE(B)，BB(B)，ctCO2，</w:t>
      </w:r>
      <w:r>
        <w:rPr>
          <w:rFonts w:hint="eastAsia" w:asciiTheme="minorEastAsia" w:hAnsiTheme="minorEastAsia" w:eastAsiaTheme="minorEastAsia" w:cstheme="minorEastAsia"/>
          <w:i/>
          <w:sz w:val="24"/>
        </w:rPr>
        <w:t>s</w:t>
      </w:r>
      <w:r>
        <w:rPr>
          <w:rFonts w:hint="eastAsia" w:asciiTheme="minorEastAsia" w:hAnsiTheme="minorEastAsia" w:eastAsiaTheme="minorEastAsia" w:cstheme="minorEastAsia"/>
          <w:sz w:val="24"/>
        </w:rPr>
        <w:t>O2(est)，Ca++(7.4)，AnGap等, 测试+计算项目≥34项</w:t>
      </w:r>
    </w:p>
    <w:p>
      <w:pPr>
        <w:spacing w:line="360" w:lineRule="auto"/>
        <w:rPr>
          <w:rFonts w:asciiTheme="minorEastAsia" w:hAnsiTheme="minorEastAsia" w:eastAsiaTheme="minorEastAsia" w:cstheme="minorEastAsia"/>
          <w:sz w:val="24"/>
        </w:rPr>
      </w:pPr>
      <w:r>
        <w:rPr>
          <w:rFonts w:hint="eastAsia" w:asciiTheme="minorEastAsia" w:hAnsiTheme="minorEastAsia" w:cstheme="minorEastAsia"/>
          <w:sz w:val="24"/>
        </w:rPr>
        <w:t>5</w:t>
      </w:r>
      <w:r>
        <w:rPr>
          <w:rFonts w:hint="eastAsia" w:asciiTheme="minorEastAsia" w:hAnsiTheme="minorEastAsia" w:eastAsiaTheme="minorEastAsia" w:cstheme="minorEastAsia"/>
          <w:sz w:val="24"/>
        </w:rPr>
        <w:t>、标本类型：可适用于动脉血、静脉血、毛细血管血、混合动静脉血等≥6种样本类型</w:t>
      </w:r>
    </w:p>
    <w:p>
      <w:pPr>
        <w:spacing w:line="360" w:lineRule="auto"/>
        <w:rPr>
          <w:rFonts w:asciiTheme="minorEastAsia" w:hAnsiTheme="minorEastAsia" w:eastAsiaTheme="minorEastAsia" w:cstheme="minorEastAsia"/>
          <w:sz w:val="24"/>
        </w:rPr>
      </w:pPr>
      <w:r>
        <w:rPr>
          <w:rFonts w:hint="eastAsia" w:asciiTheme="minorEastAsia" w:hAnsiTheme="minorEastAsia" w:cstheme="minorEastAsia"/>
          <w:sz w:val="24"/>
        </w:rPr>
        <w:t>6</w:t>
      </w:r>
      <w:r>
        <w:rPr>
          <w:rFonts w:hint="eastAsia" w:asciiTheme="minorEastAsia" w:hAnsiTheme="minorEastAsia" w:eastAsiaTheme="minorEastAsia" w:cstheme="minorEastAsia"/>
          <w:sz w:val="24"/>
        </w:rPr>
        <w:t>、定标方式：无气瓶的气体定标方式（也可称为液体定标）</w:t>
      </w:r>
    </w:p>
    <w:p>
      <w:pPr>
        <w:spacing w:line="360" w:lineRule="auto"/>
        <w:rPr>
          <w:rFonts w:asciiTheme="minorEastAsia" w:hAnsiTheme="minorEastAsia" w:eastAsiaTheme="minorEastAsia" w:cstheme="minorEastAsia"/>
          <w:sz w:val="24"/>
        </w:rPr>
      </w:pPr>
      <w:r>
        <w:rPr>
          <w:rFonts w:hint="eastAsia" w:asciiTheme="minorEastAsia" w:hAnsiTheme="minorEastAsia" w:cstheme="minorEastAsia"/>
          <w:sz w:val="24"/>
        </w:rPr>
        <w:t>7</w:t>
      </w:r>
      <w:r>
        <w:rPr>
          <w:rFonts w:hint="eastAsia" w:asciiTheme="minorEastAsia" w:hAnsiTheme="minorEastAsia" w:eastAsiaTheme="minorEastAsia" w:cstheme="minorEastAsia"/>
          <w:sz w:val="24"/>
        </w:rPr>
        <w:t>、电极测量方式：免维护微电极技术，电极内置于试剂卡内</w:t>
      </w:r>
    </w:p>
    <w:p>
      <w:pPr>
        <w:spacing w:line="360" w:lineRule="auto"/>
        <w:rPr>
          <w:rFonts w:asciiTheme="minorEastAsia" w:hAnsiTheme="minorEastAsia" w:eastAsiaTheme="minorEastAsia" w:cstheme="minorEastAsia"/>
          <w:sz w:val="24"/>
        </w:rPr>
      </w:pPr>
      <w:r>
        <w:rPr>
          <w:rFonts w:hint="eastAsia" w:asciiTheme="minorEastAsia" w:hAnsiTheme="minorEastAsia" w:cstheme="minorEastAsia"/>
          <w:sz w:val="24"/>
        </w:rPr>
        <w:t>8</w:t>
      </w:r>
      <w:r>
        <w:rPr>
          <w:rFonts w:hint="eastAsia" w:asciiTheme="minorEastAsia" w:hAnsiTheme="minorEastAsia" w:eastAsiaTheme="minorEastAsia" w:cstheme="minorEastAsia"/>
          <w:sz w:val="24"/>
        </w:rPr>
        <w:t>、▲ 试剂卡一次性使用，无交叉污染，结果安全可靠</w:t>
      </w:r>
    </w:p>
    <w:p>
      <w:pPr>
        <w:spacing w:line="360" w:lineRule="auto"/>
        <w:rPr>
          <w:rFonts w:asciiTheme="minorEastAsia" w:hAnsiTheme="minorEastAsia" w:eastAsiaTheme="minorEastAsia" w:cstheme="minorEastAsia"/>
          <w:sz w:val="24"/>
        </w:rPr>
      </w:pPr>
      <w:r>
        <w:rPr>
          <w:rFonts w:hint="eastAsia" w:asciiTheme="minorEastAsia" w:hAnsiTheme="minorEastAsia" w:cstheme="minorEastAsia"/>
          <w:sz w:val="24"/>
        </w:rPr>
        <w:t>9</w:t>
      </w:r>
      <w:r>
        <w:rPr>
          <w:rFonts w:hint="eastAsia" w:asciiTheme="minorEastAsia" w:hAnsiTheme="minorEastAsia" w:eastAsiaTheme="minorEastAsia" w:cstheme="minorEastAsia"/>
          <w:sz w:val="24"/>
        </w:rPr>
        <w:t>、▲试剂卡存储：无需冷藏，常温保存，即取即用；进样方式：自动平行抽吸式进样，有效降低生物污染；仪器内置二维条码扫描仪及热敏打印机，方便数据管理及结果的打印。</w:t>
      </w:r>
    </w:p>
    <w:p>
      <w:pPr>
        <w:spacing w:line="360" w:lineRule="auto"/>
        <w:rPr>
          <w:rFonts w:asciiTheme="minorEastAsia" w:hAnsiTheme="minorEastAsia" w:eastAsiaTheme="minorEastAsia" w:cstheme="minorEastAsia"/>
          <w:sz w:val="24"/>
        </w:rPr>
      </w:pPr>
      <w:r>
        <w:rPr>
          <w:rFonts w:hint="eastAsia" w:asciiTheme="minorEastAsia" w:hAnsiTheme="minorEastAsia" w:cstheme="minorEastAsia"/>
          <w:sz w:val="24"/>
        </w:rPr>
        <w:t>10</w:t>
      </w:r>
      <w:r>
        <w:rPr>
          <w:rFonts w:hint="eastAsia" w:asciiTheme="minorEastAsia" w:hAnsiTheme="minorEastAsia" w:eastAsiaTheme="minorEastAsia" w:cstheme="minorEastAsia"/>
          <w:sz w:val="24"/>
        </w:rPr>
        <w:t>、质量控制：提供原厂配套具有溯源性的三级液体质控品及电子仿真质控，并且获得FDA及IsO认证</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cstheme="minorEastAsia"/>
          <w:sz w:val="24"/>
        </w:rPr>
        <w:t>1</w:t>
      </w:r>
      <w:r>
        <w:rPr>
          <w:rFonts w:hint="eastAsia" w:asciiTheme="minorEastAsia" w:hAnsiTheme="minorEastAsia" w:eastAsiaTheme="minorEastAsia" w:cstheme="minorEastAsia"/>
          <w:sz w:val="24"/>
        </w:rPr>
        <w:t>、操作界面：7英寸彩色触摸屏操作,中英文语言自由切换，内置多媒体操作教程</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cstheme="minorEastAsia"/>
          <w:sz w:val="24"/>
        </w:rPr>
        <w:t>2</w:t>
      </w:r>
      <w:r>
        <w:rPr>
          <w:rFonts w:hint="eastAsia" w:asciiTheme="minorEastAsia" w:hAnsiTheme="minorEastAsia" w:eastAsiaTheme="minorEastAsia" w:cstheme="minorEastAsia"/>
          <w:sz w:val="24"/>
        </w:rPr>
        <w:t>、内置高容量充电电池，待机时间≥20h或可连续测量样本数≥50个</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cstheme="minorEastAsia"/>
          <w:sz w:val="24"/>
        </w:rPr>
        <w:t>3</w:t>
      </w:r>
      <w:r>
        <w:rPr>
          <w:rFonts w:hint="eastAsia" w:asciiTheme="minorEastAsia" w:hAnsiTheme="minorEastAsia" w:eastAsiaTheme="minorEastAsia" w:cstheme="minorEastAsia"/>
          <w:sz w:val="24"/>
        </w:rPr>
        <w:t>、小巧便携，重量&lt; 5Kg（含电池），便于不同病人终端移动及床旁检测</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cstheme="minorEastAsia"/>
          <w:sz w:val="24"/>
        </w:rPr>
        <w:t>4</w:t>
      </w:r>
      <w:r>
        <w:rPr>
          <w:rFonts w:hint="eastAsia" w:asciiTheme="minorEastAsia" w:hAnsiTheme="minorEastAsia" w:eastAsiaTheme="minorEastAsia" w:cstheme="minorEastAsia"/>
          <w:sz w:val="24"/>
        </w:rPr>
        <w:t>、数据接口：串口、网络接口、USB口，有线、无线网络链接，能连接LIS、HIS</w:t>
      </w:r>
    </w:p>
    <w:p>
      <w:pPr>
        <w:spacing w:line="360" w:lineRule="auto"/>
        <w:rPr>
          <w:rFonts w:asciiTheme="minorEastAsia" w:hAnsiTheme="minorEastAsia" w:eastAsiaTheme="minorEastAsia" w:cstheme="minorEastAsia"/>
          <w:sz w:val="24"/>
        </w:rPr>
      </w:pPr>
      <w:r>
        <w:rPr>
          <w:rFonts w:hint="eastAsia" w:asciiTheme="minorEastAsia" w:hAnsiTheme="minorEastAsia" w:cstheme="minorEastAsia"/>
          <w:sz w:val="24"/>
        </w:rPr>
        <w:t>15</w:t>
      </w:r>
      <w:r>
        <w:rPr>
          <w:rFonts w:hint="eastAsia" w:asciiTheme="minorEastAsia" w:hAnsiTheme="minorEastAsia" w:eastAsiaTheme="minorEastAsia" w:cstheme="minorEastAsia"/>
          <w:sz w:val="24"/>
        </w:rPr>
        <w:t>、数据存储：仪器可自动存储10000个病人结果</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cstheme="minorEastAsia"/>
          <w:sz w:val="24"/>
        </w:rPr>
        <w:t>6</w:t>
      </w:r>
      <w:r>
        <w:rPr>
          <w:rFonts w:hint="eastAsia" w:asciiTheme="minorEastAsia" w:hAnsiTheme="minorEastAsia" w:eastAsiaTheme="minorEastAsia" w:cstheme="minorEastAsia"/>
          <w:sz w:val="24"/>
        </w:rPr>
        <w:t>、升级：检测参数的升级，无需增加模块就可完成</w:t>
      </w:r>
    </w:p>
    <w:p>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cstheme="minorEastAsia"/>
          <w:sz w:val="24"/>
        </w:rPr>
        <w:t>7</w:t>
      </w:r>
      <w:r>
        <w:rPr>
          <w:rFonts w:hint="eastAsia" w:asciiTheme="minorEastAsia" w:hAnsiTheme="minorEastAsia" w:eastAsiaTheme="minorEastAsia" w:cstheme="minorEastAsia"/>
          <w:sz w:val="24"/>
        </w:rPr>
        <w:t>、使用环境要求：10-31℃</w:t>
      </w:r>
    </w:p>
    <w:p>
      <w:pPr>
        <w:spacing w:line="360" w:lineRule="auto"/>
        <w:rPr>
          <w:b/>
          <w:bCs/>
          <w:sz w:val="28"/>
          <w:szCs w:val="28"/>
        </w:rPr>
      </w:pPr>
      <w:r>
        <w:rPr>
          <w:rFonts w:hint="eastAsia"/>
          <w:b/>
          <w:bCs/>
          <w:sz w:val="28"/>
          <w:szCs w:val="28"/>
        </w:rPr>
        <w:t>二、配置清单</w:t>
      </w:r>
    </w:p>
    <w:tbl>
      <w:tblPr>
        <w:tblStyle w:val="9"/>
        <w:tblW w:w="71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4"/>
        <w:gridCol w:w="2805"/>
        <w:gridCol w:w="141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序号</w:t>
            </w:r>
          </w:p>
        </w:tc>
        <w:tc>
          <w:tcPr>
            <w:tcW w:w="2805"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名称</w:t>
            </w:r>
          </w:p>
        </w:tc>
        <w:tc>
          <w:tcPr>
            <w:tcW w:w="1417"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数量</w:t>
            </w:r>
          </w:p>
        </w:tc>
        <w:tc>
          <w:tcPr>
            <w:tcW w:w="2126"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2805"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主机</w:t>
            </w:r>
          </w:p>
        </w:tc>
        <w:tc>
          <w:tcPr>
            <w:tcW w:w="1417"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2126"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2805"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中文说明书</w:t>
            </w:r>
          </w:p>
        </w:tc>
        <w:tc>
          <w:tcPr>
            <w:tcW w:w="1417"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2126"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2805"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电池，4200mAH</w:t>
            </w:r>
          </w:p>
        </w:tc>
        <w:tc>
          <w:tcPr>
            <w:tcW w:w="1417"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2126"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w:t>
            </w:r>
          </w:p>
        </w:tc>
        <w:tc>
          <w:tcPr>
            <w:tcW w:w="2805"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打印纸 </w:t>
            </w:r>
          </w:p>
        </w:tc>
        <w:tc>
          <w:tcPr>
            <w:tcW w:w="1417"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2126"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盒（12卷/盒）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2805"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电源适配器</w:t>
            </w:r>
          </w:p>
        </w:tc>
        <w:tc>
          <w:tcPr>
            <w:tcW w:w="1417"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2126"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w:t>
            </w:r>
          </w:p>
        </w:tc>
        <w:tc>
          <w:tcPr>
            <w:tcW w:w="2805"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合格证</w:t>
            </w:r>
          </w:p>
        </w:tc>
        <w:tc>
          <w:tcPr>
            <w:tcW w:w="1417"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2126"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7</w:t>
            </w:r>
          </w:p>
        </w:tc>
        <w:tc>
          <w:tcPr>
            <w:tcW w:w="2805"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速查卡</w:t>
            </w:r>
          </w:p>
        </w:tc>
        <w:tc>
          <w:tcPr>
            <w:tcW w:w="1417"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2126"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8</w:t>
            </w:r>
          </w:p>
        </w:tc>
        <w:tc>
          <w:tcPr>
            <w:tcW w:w="2805"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保修卡</w:t>
            </w:r>
          </w:p>
        </w:tc>
        <w:tc>
          <w:tcPr>
            <w:tcW w:w="1417"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2126"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9</w:t>
            </w:r>
          </w:p>
        </w:tc>
        <w:tc>
          <w:tcPr>
            <w:tcW w:w="2805"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验收单</w:t>
            </w:r>
          </w:p>
        </w:tc>
        <w:tc>
          <w:tcPr>
            <w:tcW w:w="1417"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2126"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10</w:t>
            </w:r>
          </w:p>
        </w:tc>
        <w:tc>
          <w:tcPr>
            <w:tcW w:w="2805"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装箱单</w:t>
            </w:r>
          </w:p>
        </w:tc>
        <w:tc>
          <w:tcPr>
            <w:tcW w:w="1417"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2126" w:type="dxa"/>
            <w:vAlign w:val="center"/>
          </w:tcPr>
          <w:p>
            <w:pPr>
              <w:pStyle w:val="7"/>
              <w:snapToGrid/>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份</w:t>
            </w:r>
          </w:p>
        </w:tc>
      </w:tr>
    </w:tbl>
    <w:p>
      <w:pPr>
        <w:pStyle w:val="2"/>
      </w:pPr>
    </w:p>
    <w:p>
      <w:pPr>
        <w:numPr>
          <w:ilvl w:val="0"/>
          <w:numId w:val="6"/>
        </w:numPr>
        <w:spacing w:line="360" w:lineRule="auto"/>
        <w:rPr>
          <w:rFonts w:hint="eastAsia"/>
          <w:b/>
          <w:bCs/>
          <w:sz w:val="28"/>
          <w:szCs w:val="28"/>
        </w:rPr>
      </w:pPr>
      <w:r>
        <w:rPr>
          <w:rFonts w:hint="eastAsia"/>
          <w:b/>
          <w:bCs/>
          <w:sz w:val="28"/>
          <w:szCs w:val="28"/>
        </w:rPr>
        <w:t>超声骨密度仪</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1、主要技术规格</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1.1探头频率及带宽:核心频率1.25MHz， 带宽30%，充分保证探头频率的灵敏度和稳定性</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1.2探头组成:完全自主研发四晶体超声探头</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1.3收发模式:轴向超声波传导技术，双晶体发射双晶体接收，自动消除软组织干扰，单次检查获取大于40000组数据，确保数据的高准确度、高重复性。</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1.4脉冲发射频率:100~3000Hz</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1.5检测部位:桡骨远端、胫骨中段</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1.6测量参数:SOS值、T值、Z值、相对骨折风险、骨强度指数、骨质疏松预计发生年龄、身高预测、骨骼生理年龄</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1.7声速测量范围:2300m/s～4700m/s</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1.8高测量重复性:≤±0.8%</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1.9高准确度:≤±50m/s</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1.10快速、高精度两种测量模式</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1.11单点检测速度:≤0.4s</w:t>
      </w:r>
    </w:p>
    <w:p>
      <w:pPr>
        <w:spacing w:line="360" w:lineRule="auto"/>
        <w:rPr>
          <w:rFonts w:hint="eastAsia" w:ascii="宋体" w:hAnsi="宋体"/>
          <w:color w:val="000000" w:themeColor="text1"/>
          <w:szCs w:val="21"/>
        </w:rPr>
      </w:pPr>
      <w:r>
        <w:rPr>
          <w:rFonts w:hint="eastAsia" w:asciiTheme="minorEastAsia" w:hAnsiTheme="minorEastAsia" w:eastAsiaTheme="minorEastAsia" w:cstheme="minorEastAsia"/>
          <w:sz w:val="24"/>
        </w:rPr>
        <w:t>1.12主机重量:≤4.4k</w:t>
      </w:r>
      <w:r>
        <w:rPr>
          <w:rFonts w:ascii="宋体" w:hAnsi="宋体"/>
          <w:color w:val="000000" w:themeColor="text1"/>
          <w:szCs w:val="21"/>
        </w:rPr>
        <w:t>g</w:t>
      </w:r>
      <w:r>
        <w:rPr>
          <w:rFonts w:hint="eastAsia" w:ascii="宋体" w:hAnsi="宋体"/>
          <w:color w:val="000000" w:themeColor="text1"/>
          <w:szCs w:val="21"/>
        </w:rPr>
        <w:t xml:space="preserve"> </w:t>
      </w:r>
    </w:p>
    <w:p>
      <w:pPr>
        <w:spacing w:line="380" w:lineRule="exact"/>
        <w:jc w:val="left"/>
        <w:rPr>
          <w:rFonts w:ascii="宋体" w:hAnsi="宋体"/>
          <w:color w:val="000000" w:themeColor="text1"/>
          <w:szCs w:val="21"/>
        </w:rPr>
      </w:pP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2、产品功能</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2.1探头导航:显示器实时可视探头与皮肤接触状态、探头与骨骼平面夹角，便于快速矫正检测角度，提高检测速度和数据准确性；角度显示偏转精度0.1°</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2.2动画播放功能：儿童检查时吸引其注意力，使医生轻松完成检查。动画片内容可更换、增减。</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2.3安卓操作平台：触摸屏操控，让操作更加快捷，体验更加舒适。</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2.4数据联网功能： USB接口、WIFI联网、移动网络模块联网；</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2.5实时显示骨质声速值、测量次数、测量时间，直观易懂</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2.6探头自动休眠，有效延长探头使用寿命</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2.7显示患者详细信息资料并可编辑</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2.8显示历史测量结果</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2.9多外置接口开放：可外接扫码枪、身份证读卡器（选配），实现病人信息快速录入</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2.10病案管理功能：可对病例进行搜索、统计、排序、编辑等一系列操作管理</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2.11适合中国人标准的数据库，婴幼儿（0-5岁）数据库，青少年（5-20岁）数据库，成人（20-90岁）数据库</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2.12提供A4、16K、B5等多种尺寸报告单</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2.13全中文彩色报告单，可以单独保存，并随时预览、打印</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2.14大量的报告词条、诊断词条使生成报告方便快捷</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2.15配备专业的便携式校验模块（带温度指示条）：用于检测前设备的校验，确保检测数据准确性。</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2.16云服务功能</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2.16.1定制微信公众号（选配）；</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2.16.2检测结果直接传输至受检者微信；</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2.16.3受检者多次检测结果统计、分析；</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2.16.4提供三年免费流量和三年免费云平台空间</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2.17彩色打印机：配备专业彩色打印机，高清打印，使用方便</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2.18双屏显示:配备液晶显示器分屏显示，检测内容分屏显示，视野更加宽阔，针对小孩，可全屏播放动画片，吸引宝宝注意力，检测动画、检测曲线同时显示，让检测更加便捷和准确。</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2.19配备辅助测量装置:固定桡骨检测部位，提高检测数据的准确度。 </w:t>
      </w:r>
    </w:p>
    <w:p>
      <w:pPr>
        <w:spacing w:line="360" w:lineRule="auto"/>
        <w:rPr>
          <w:rFonts w:hint="eastAsia" w:asciiTheme="minorEastAsia" w:hAnsiTheme="minorEastAsia" w:eastAsiaTheme="minorEastAsia" w:cstheme="minorEastAsia"/>
          <w:sz w:val="24"/>
          <w:lang w:eastAsia="zh-CN"/>
        </w:rPr>
      </w:pPr>
      <w:r>
        <w:rPr>
          <w:rFonts w:hint="eastAsia" w:asciiTheme="minorEastAsia" w:hAnsiTheme="minorEastAsia" w:eastAsiaTheme="minorEastAsia" w:cstheme="minorEastAsia"/>
          <w:sz w:val="24"/>
        </w:rPr>
        <w:t>2.2</w:t>
      </w:r>
      <w:r>
        <w:rPr>
          <w:rFonts w:hint="eastAsia" w:asciiTheme="minorEastAsia" w:hAnsiTheme="minorEastAsia" w:eastAsiaTheme="minorEastAsia" w:cstheme="minorEastAsia"/>
          <w:sz w:val="24"/>
          <w:lang w:val="en-US" w:eastAsia="zh-CN"/>
        </w:rPr>
        <w:t>0</w:t>
      </w:r>
      <w:r>
        <w:rPr>
          <w:rFonts w:hint="eastAsia" w:asciiTheme="minorEastAsia" w:hAnsiTheme="minorEastAsia" w:eastAsiaTheme="minorEastAsia" w:cstheme="minorEastAsia"/>
          <w:sz w:val="24"/>
        </w:rPr>
        <w:t>报告单自定义:可重新编辑报告单字段，针对检测结果，检测图表，检测意见或者医生意见等字段，可随意进行缩放，拖动，添加或删除等操作，满足更多客户需求</w:t>
      </w:r>
      <w:r>
        <w:rPr>
          <w:rFonts w:hint="eastAsia" w:asciiTheme="minorEastAsia" w:hAnsiTheme="minorEastAsia" w:eastAsiaTheme="minorEastAsia" w:cstheme="minorEastAsia"/>
          <w:sz w:val="24"/>
          <w:lang w:eastAsia="zh-CN"/>
        </w:rPr>
        <w:t>。</w:t>
      </w:r>
    </w:p>
    <w:p>
      <w:pPr>
        <w:spacing w:line="360" w:lineRule="auto"/>
        <w:rPr>
          <w:rFonts w:hint="eastAsia" w:asciiTheme="minorEastAsia" w:hAnsiTheme="minorEastAsia" w:eastAsiaTheme="minorEastAsia" w:cstheme="minorEastAsia"/>
          <w:sz w:val="24"/>
          <w:lang w:val="en-US" w:eastAsia="zh-CN"/>
        </w:rPr>
      </w:pPr>
      <w:r>
        <w:rPr>
          <w:rFonts w:hint="eastAsia" w:asciiTheme="minorEastAsia" w:hAnsiTheme="minorEastAsia" w:eastAsiaTheme="minorEastAsia" w:cstheme="minorEastAsia"/>
          <w:sz w:val="24"/>
        </w:rPr>
        <w:t>2.2</w:t>
      </w:r>
      <w:r>
        <w:rPr>
          <w:rFonts w:hint="eastAsia" w:asciiTheme="minorEastAsia" w:hAnsiTheme="minorEastAsia" w:eastAsiaTheme="minorEastAsia" w:cstheme="minorEastAsia"/>
          <w:sz w:val="24"/>
          <w:lang w:val="en-US" w:eastAsia="zh-CN"/>
        </w:rPr>
        <w:t>1骨密度主机内置探头装置:防止探头磕碰，增加探头使用时间，保护探头寿命。</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2.2</w:t>
      </w:r>
      <w:r>
        <w:rPr>
          <w:rFonts w:hint="eastAsia" w:asciiTheme="minorEastAsia" w:hAnsiTheme="minorEastAsia" w:eastAsiaTheme="minorEastAsia" w:cstheme="minorEastAsia"/>
          <w:sz w:val="24"/>
          <w:lang w:val="en-US" w:eastAsia="zh-CN"/>
        </w:rPr>
        <w:t>2</w:t>
      </w:r>
      <w:r>
        <w:rPr>
          <w:rFonts w:hint="eastAsia" w:asciiTheme="minorEastAsia" w:hAnsiTheme="minorEastAsia" w:eastAsiaTheme="minorEastAsia" w:cstheme="minorEastAsia"/>
          <w:sz w:val="24"/>
        </w:rPr>
        <w:t>配备定制版双屏台车</w:t>
      </w:r>
    </w:p>
    <w:p>
      <w:pPr>
        <w:spacing w:line="360" w:lineRule="auto"/>
        <w:rPr>
          <w:rFonts w:hint="eastAsia" w:asciiTheme="minorEastAsia" w:hAnsiTheme="minorEastAsia" w:eastAsiaTheme="minorEastAsia" w:cstheme="minorEastAsia"/>
          <w:sz w:val="24"/>
        </w:rPr>
      </w:pP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3、质量保证及售后服务</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3.1通过德国莱茵TUV质量体系认证</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3.2提供用户操作手册和维修手册</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3.3一年保修期</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3.4</w:t>
      </w:r>
      <w:r>
        <w:rPr>
          <w:rFonts w:hint="eastAsia" w:asciiTheme="minorEastAsia" w:hAnsiTheme="minorEastAsia" w:eastAsiaTheme="minorEastAsia" w:cstheme="minorEastAsia"/>
          <w:sz w:val="24"/>
          <w:lang w:val="en-US" w:eastAsia="zh-CN"/>
        </w:rPr>
        <w:t xml:space="preserve"> </w:t>
      </w:r>
      <w:r>
        <w:rPr>
          <w:rFonts w:hint="eastAsia" w:asciiTheme="minorEastAsia" w:hAnsiTheme="minorEastAsia" w:eastAsiaTheme="minorEastAsia" w:cstheme="minorEastAsia"/>
          <w:sz w:val="24"/>
        </w:rPr>
        <w:t>24小时快速反应，本省有售后服务办事处</w:t>
      </w:r>
    </w:p>
    <w:p>
      <w:pPr>
        <w:spacing w:line="360" w:lineRule="auto"/>
        <w:rPr>
          <w:rFonts w:hint="eastAsia" w:asciiTheme="minorEastAsia" w:hAnsiTheme="minorEastAsia" w:eastAsiaTheme="minorEastAsia" w:cstheme="minorEastAsia"/>
          <w:sz w:val="24"/>
        </w:rPr>
      </w:pPr>
    </w:p>
    <w:p>
      <w:pPr>
        <w:spacing w:line="360" w:lineRule="auto"/>
        <w:rPr>
          <w:rFonts w:hint="eastAsia"/>
          <w:b/>
          <w:bCs/>
          <w:sz w:val="28"/>
          <w:szCs w:val="28"/>
        </w:rPr>
      </w:pPr>
      <w:r>
        <w:rPr>
          <w:rFonts w:hint="eastAsia"/>
          <w:b/>
          <w:bCs/>
          <w:sz w:val="28"/>
          <w:szCs w:val="28"/>
          <w:lang w:eastAsia="zh-CN"/>
        </w:rPr>
        <w:t>（</w:t>
      </w:r>
      <w:r>
        <w:rPr>
          <w:rFonts w:hint="eastAsia"/>
          <w:b/>
          <w:bCs/>
          <w:sz w:val="28"/>
          <w:szCs w:val="28"/>
          <w:lang w:val="en-US" w:eastAsia="zh-CN"/>
        </w:rPr>
        <w:t>12</w:t>
      </w:r>
      <w:r>
        <w:rPr>
          <w:rFonts w:hint="eastAsia"/>
          <w:b/>
          <w:bCs/>
          <w:sz w:val="28"/>
          <w:szCs w:val="28"/>
          <w:lang w:eastAsia="zh-CN"/>
        </w:rPr>
        <w:t>）</w:t>
      </w:r>
      <w:r>
        <w:rPr>
          <w:rFonts w:hint="eastAsia"/>
          <w:b/>
          <w:bCs/>
          <w:sz w:val="28"/>
          <w:szCs w:val="28"/>
        </w:rPr>
        <w:t>超声经颅多普勒血流分析仪</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lang w:eastAsia="zh-CN"/>
        </w:rPr>
        <w:t>一、</w:t>
      </w:r>
      <w:r>
        <w:rPr>
          <w:rFonts w:hint="eastAsia" w:asciiTheme="minorEastAsia" w:hAnsiTheme="minorEastAsia" w:eastAsiaTheme="minorEastAsia" w:cstheme="minorEastAsia"/>
          <w:sz w:val="24"/>
        </w:rPr>
        <w:t>主要技术规格及系统参数</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1.1、FFT采样率:128、256、512、1024</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1.2、探头工作模式及流速范围</w:t>
      </w:r>
      <w:r>
        <w:rPr>
          <w:rFonts w:hint="eastAsia" w:asciiTheme="minorEastAsia" w:hAnsiTheme="minorEastAsia" w:eastAsiaTheme="minorEastAsia" w:cstheme="minorEastAsia"/>
          <w:sz w:val="24"/>
        </w:rPr>
        <w:tab/>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a)脉冲波（PW）模式：</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当超声工作频率为2.0MHz时，流速测量范围不窄于20cm/s～500cm/s。</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b)连续波（CW）模式：</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当超声工作频率为4.0MHz、8.0MHz时，流速测量范围不窄于10cm/s～400cm/s。</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1.3、取样容积范围:1-20 mm</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1.4、深度范围:6-196 mm</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1.5、增益范围:1-60 dB</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1.6、动态范围:1-40 dB</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1.7、功率范围:0-100 %,在保持高灵敏度和高穿透力的基础上，功率范围在0-182mw之间。</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1.8、角度补偿范围: 0～89°，补偿超声波与血管夹角造成的血流速度降低，真实反映血流流速。</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1.9、滤波调节范围:50-800Hz（12档）</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1.10、扫描时间: 2.6s、3.1s、3.9s、5.2s、7.8s（5档） </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1.11、谱图色阶:≥6种，操作界面可调节</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1.12、M波色阶:≥6种，操作界面可调节</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1.13、独立通道数:≥2</w:t>
      </w:r>
      <w:r>
        <w:rPr>
          <w:rFonts w:hint="eastAsia" w:asciiTheme="minorEastAsia" w:hAnsiTheme="minorEastAsia" w:eastAsiaTheme="minorEastAsia" w:cstheme="minorEastAsia"/>
          <w:sz w:val="24"/>
        </w:rPr>
        <w:tab/>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1.14、支持探头类型:</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a)国产：2MHz（标配）、4MHz（标配）、</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 、常规检查及软件功能</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 、检查参数：收缩期流速（Vs）、平均流速（Vm）、舒张期流速（Vd）、阻力指数（RI）、搏动指数（PI）、收缩期/舒张期速度比值（S/D）、心率（HR）、加速度（a）、频宽指数（SBI）、热指数（TI）</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2.2 、通道/深度：单通道/单深度、单通道/九深度</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2.3、数字M波功能:可视取样容积宽度、深度，全深度内血流的流向、强度、深度信息同时显示。</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2.4 、各深度可以联动调节：各深度的间隔可同步调节;</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2.5 、多深度-M波联动：各深度的深度范围与M波深度范围一致，调节M波的深度坐标，多深度的深度范围相应变化；调节多深度的深度，不影响M波的深度坐标；</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2.6、异常血流提醒功能：常规检查中参数Vs、Vm、Vd、PI、RI、S/D 通过与内置（专家）各年龄组、两性别的正常参考值比较，超出和低于正常值范围时，软件有颜色提醒功能，方便操作者结合临床能更准确的分析诊断。</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2.7、智能流程</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a)检测技术：血管解剖位置、标准谱图形态、异常谱图形态、探头角度、深度、检查位置实时显示，引导操作者更快、更准确找到目标血管</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b)分析诊断：通过血流速度、搏动指数、血流方向识别及分析，自动提供诊断建议并引导进一步血管检查路径</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c)侧支循环：根据已知/疑似狭窄展现可能存在的侧支循环通路，辅助引导操作者完成侧支循环评估，并通过动画直观展示侧支循环开放情况</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2.8、一键优化：深度、标尺、增益、基线、降噪一键控制，快速获得理想频谱</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2.9 、离线数据分析功能：可在检查结束后再对数据进行计算、测量、出报告</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w:t>
      </w:r>
      <w:r>
        <w:rPr>
          <w:rFonts w:hint="eastAsia" w:asciiTheme="minorEastAsia" w:hAnsiTheme="minorEastAsia" w:eastAsiaTheme="minorEastAsia" w:cstheme="minorEastAsia"/>
          <w:sz w:val="24"/>
          <w:lang w:val="en-US" w:eastAsia="zh-CN"/>
        </w:rPr>
        <w:t>0</w:t>
      </w:r>
      <w:r>
        <w:rPr>
          <w:rFonts w:hint="eastAsia" w:asciiTheme="minorEastAsia" w:hAnsiTheme="minorEastAsia" w:eastAsiaTheme="minorEastAsia" w:cstheme="minorEastAsia"/>
          <w:sz w:val="24"/>
        </w:rPr>
        <w:t xml:space="preserve"> 、参数双向自动计算</w:t>
      </w:r>
    </w:p>
    <w:p>
      <w:pPr>
        <w:spacing w:line="360" w:lineRule="auto"/>
        <w:rPr>
          <w:rFonts w:hint="eastAsia" w:asciiTheme="minorEastAsia" w:hAnsiTheme="minorEastAsia" w:eastAsiaTheme="minorEastAsia" w:cstheme="minorEastAsia"/>
          <w:sz w:val="24"/>
        </w:rPr>
      </w:pP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 、声谱控制及测量</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3.1 、冻结状态下，谱图深度可调</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3.2 、保存状态下，声音与频谱同步连续储存和回放；</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3.3 、自动记录（冻结回放）：永不错过理想频谱</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a)冻结后可回放冻结前30秒的谱图 </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b)冻结后可回放冻结前一整屏的谱图，并可调节深度</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3.4 、可修改已保存血流频谱图血管名称</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3.5 、测量方式：两点测量、三点测量</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3.6 、标记功能 ：谱图标记功能</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3.7 、谱图声音立体声播放</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 、数据管理</w:t>
      </w:r>
      <w:r>
        <w:rPr>
          <w:rFonts w:hint="eastAsia" w:asciiTheme="minorEastAsia" w:hAnsiTheme="minorEastAsia" w:eastAsiaTheme="minorEastAsia" w:cstheme="minorEastAsia"/>
          <w:sz w:val="24"/>
          <w:lang w:eastAsia="zh-CN"/>
        </w:rPr>
        <w:t>：</w:t>
      </w:r>
      <w:bookmarkStart w:id="9" w:name="_GoBack"/>
      <w:bookmarkEnd w:id="9"/>
      <w:r>
        <w:rPr>
          <w:rFonts w:hint="eastAsia" w:asciiTheme="minorEastAsia" w:hAnsiTheme="minorEastAsia" w:eastAsiaTheme="minorEastAsia" w:cstheme="minorEastAsia"/>
          <w:sz w:val="24"/>
        </w:rPr>
        <w:t>数据导入及导出：检查条件、功能设置、病案可导入及导出</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 、探头配置</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5.1 、探头要求：常规检查PW 2M探头1个，常规检查CW 4M探头1个</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5.2、探头保护功能：探头自动休眠功能，延长探头使用寿命</w:t>
      </w:r>
    </w:p>
    <w:p>
      <w:pPr>
        <w:spacing w:line="360" w:lineRule="auto"/>
        <w:rPr>
          <w:rFonts w:hint="eastAsia" w:asciiTheme="minorEastAsia" w:hAnsiTheme="minorEastAsia" w:eastAsiaTheme="minorEastAsia" w:cstheme="minorEastAsia"/>
          <w:sz w:val="24"/>
        </w:rPr>
      </w:pP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6、操作方式</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6.1、360°无线遥控操作：无需转换角度，即可完成检查</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6.2、遥控器可调节：血管、音量、增益、深度、功率、冻结/解冻</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6.3、自定义按键：遥控器具有自定义按键功能，便于操作</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6.4、快捷键：键盘具有快捷键功能，操作更快捷</w:t>
      </w:r>
    </w:p>
    <w:p>
      <w:pPr>
        <w:spacing w:line="360" w:lineRule="auto"/>
        <w:rPr>
          <w:rFonts w:hint="eastAsia" w:asciiTheme="minorEastAsia" w:hAnsiTheme="minorEastAsia" w:eastAsiaTheme="minorEastAsia" w:cstheme="minorEastAsia"/>
          <w:sz w:val="24"/>
        </w:rPr>
      </w:pP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7、质量保证及售后服务</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7.1、通过德国TUV质量体系认证</w:t>
      </w:r>
    </w:p>
    <w:p>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7.2、24小时快速维修反应，本省有售后服务办事处</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PMingLiU">
    <w:panose1 w:val="02020500000000000000"/>
    <w:charset w:val="88"/>
    <w:family w:val="roman"/>
    <w:pitch w:val="default"/>
    <w:sig w:usb0="A00002FF" w:usb1="28CFFCFA" w:usb2="00000016" w:usb3="00000000" w:csb0="00100001"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C116DC3"/>
    <w:multiLevelType w:val="singleLevel"/>
    <w:tmpl w:val="DC116DC3"/>
    <w:lvl w:ilvl="0" w:tentative="0">
      <w:start w:val="8"/>
      <w:numFmt w:val="decimal"/>
      <w:suff w:val="nothing"/>
      <w:lvlText w:val="（%1）"/>
      <w:lvlJc w:val="left"/>
    </w:lvl>
  </w:abstractNum>
  <w:abstractNum w:abstractNumId="1">
    <w:nsid w:val="0D010684"/>
    <w:multiLevelType w:val="multilevel"/>
    <w:tmpl w:val="0D010684"/>
    <w:lvl w:ilvl="0" w:tentative="0">
      <w:start w:val="1"/>
      <w:numFmt w:val="bullet"/>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
    <w:nsid w:val="1F011B4C"/>
    <w:multiLevelType w:val="multilevel"/>
    <w:tmpl w:val="1F011B4C"/>
    <w:lvl w:ilvl="0" w:tentative="0">
      <w:start w:val="1"/>
      <w:numFmt w:val="decimal"/>
      <w:lvlText w:val="%1."/>
      <w:lvlJc w:val="left"/>
      <w:pPr>
        <w:ind w:left="425" w:hanging="425"/>
      </w:pPr>
    </w:lvl>
    <w:lvl w:ilvl="1" w:tentative="0">
      <w:start w:val="1"/>
      <w:numFmt w:val="decimal"/>
      <w:lvlText w:val="%1.%2."/>
      <w:lvlJc w:val="left"/>
      <w:pPr>
        <w:ind w:left="567" w:hanging="567"/>
      </w:pPr>
    </w:lvl>
    <w:lvl w:ilvl="2" w:tentative="0">
      <w:start w:val="1"/>
      <w:numFmt w:val="decimal"/>
      <w:lvlText w:val="%1.%2.%3."/>
      <w:lvlJc w:val="left"/>
      <w:pPr>
        <w:ind w:left="709" w:hanging="709"/>
      </w:pPr>
    </w:lvl>
    <w:lvl w:ilvl="3" w:tentative="0">
      <w:start w:val="1"/>
      <w:numFmt w:val="decimal"/>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3">
    <w:nsid w:val="26CC190D"/>
    <w:multiLevelType w:val="singleLevel"/>
    <w:tmpl w:val="26CC190D"/>
    <w:lvl w:ilvl="0" w:tentative="0">
      <w:start w:val="6"/>
      <w:numFmt w:val="decimal"/>
      <w:suff w:val="nothing"/>
      <w:lvlText w:val="%1、"/>
      <w:lvlJc w:val="left"/>
    </w:lvl>
  </w:abstractNum>
  <w:abstractNum w:abstractNumId="4">
    <w:nsid w:val="299327D2"/>
    <w:multiLevelType w:val="multilevel"/>
    <w:tmpl w:val="299327D2"/>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21E8E22"/>
    <w:multiLevelType w:val="singleLevel"/>
    <w:tmpl w:val="321E8E22"/>
    <w:lvl w:ilvl="0" w:tentative="0">
      <w:start w:val="1"/>
      <w:numFmt w:val="decimal"/>
      <w:suff w:val="nothing"/>
      <w:lvlText w:val="（%1）"/>
      <w:lvlJc w:val="left"/>
    </w:lvl>
  </w:abstractNum>
  <w:abstractNum w:abstractNumId="6">
    <w:nsid w:val="518E05BC"/>
    <w:multiLevelType w:val="multilevel"/>
    <w:tmpl w:val="518E05BC"/>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762703EE"/>
    <w:multiLevelType w:val="multilevel"/>
    <w:tmpl w:val="762703EE"/>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5"/>
  </w:num>
  <w:num w:numId="2">
    <w:abstractNumId w:val="2"/>
  </w:num>
  <w:num w:numId="3">
    <w:abstractNumId w:val="6"/>
  </w:num>
  <w:num w:numId="4">
    <w:abstractNumId w:val="4"/>
  </w:num>
  <w:num w:numId="5">
    <w:abstractNumId w:val="3"/>
  </w:num>
  <w:num w:numId="6">
    <w:abstractNumId w:val="0"/>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9864A1"/>
    <w:rsid w:val="00645F40"/>
    <w:rsid w:val="008119D1"/>
    <w:rsid w:val="009864A1"/>
    <w:rsid w:val="1B9375EF"/>
    <w:rsid w:val="23034502"/>
    <w:rsid w:val="264233D2"/>
    <w:rsid w:val="59494E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仿宋_GB2312" w:asciiTheme="minorHAnsi" w:hAnsiTheme="minorHAnsi" w:cstheme="minorBidi"/>
      <w:kern w:val="2"/>
      <w:sz w:val="21"/>
      <w:szCs w:val="24"/>
      <w:lang w:val="en-US" w:eastAsia="zh-CN" w:bidi="ar-SA"/>
    </w:rPr>
  </w:style>
  <w:style w:type="paragraph" w:styleId="3">
    <w:name w:val="heading 2"/>
    <w:basedOn w:val="1"/>
    <w:next w:val="1"/>
    <w:unhideWhenUsed/>
    <w:qFormat/>
    <w:uiPriority w:val="0"/>
    <w:pPr>
      <w:keepNext/>
      <w:keepLines/>
      <w:spacing w:before="260" w:after="260" w:line="413" w:lineRule="auto"/>
      <w:outlineLvl w:val="1"/>
    </w:pPr>
    <w:rPr>
      <w:rFonts w:ascii="Arial" w:hAnsi="Arial" w:eastAsia="黑体"/>
      <w:b/>
      <w:sz w:val="28"/>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customStyle="1" w:styleId="2">
    <w:name w:val="正文正"/>
    <w:basedOn w:val="1"/>
    <w:qFormat/>
    <w:uiPriority w:val="0"/>
    <w:pPr>
      <w:spacing w:line="560" w:lineRule="exact"/>
      <w:ind w:firstLine="561"/>
    </w:pPr>
    <w:rPr>
      <w:sz w:val="28"/>
    </w:rPr>
  </w:style>
  <w:style w:type="paragraph" w:styleId="4">
    <w:name w:val="Balloon Text"/>
    <w:basedOn w:val="1"/>
    <w:link w:val="17"/>
    <w:qFormat/>
    <w:uiPriority w:val="0"/>
    <w:rPr>
      <w:sz w:val="18"/>
      <w:szCs w:val="18"/>
    </w:rPr>
  </w:style>
  <w:style w:type="paragraph" w:styleId="5">
    <w:name w:val="footer"/>
    <w:basedOn w:val="1"/>
    <w:link w:val="16"/>
    <w:qFormat/>
    <w:uiPriority w:val="0"/>
    <w:pPr>
      <w:tabs>
        <w:tab w:val="center" w:pos="4153"/>
        <w:tab w:val="right" w:pos="8306"/>
      </w:tabs>
      <w:snapToGrid w:val="0"/>
      <w:jc w:val="left"/>
    </w:pPr>
    <w:rPr>
      <w:sz w:val="18"/>
      <w:szCs w:val="18"/>
    </w:rPr>
  </w:style>
  <w:style w:type="paragraph" w:styleId="6">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7">
    <w:name w:val="footnote text"/>
    <w:basedOn w:val="1"/>
    <w:qFormat/>
    <w:uiPriority w:val="0"/>
    <w:pPr>
      <w:snapToGrid w:val="0"/>
    </w:pPr>
    <w:rPr>
      <w:rFonts w:ascii="Times New Roman" w:hAnsi="Times New Roman" w:eastAsia="PMingLiU" w:cs="Times New Roman"/>
      <w:sz w:val="20"/>
    </w:rPr>
  </w:style>
  <w:style w:type="paragraph" w:styleId="8">
    <w:name w:val="Title"/>
    <w:basedOn w:val="1"/>
    <w:link w:val="18"/>
    <w:qFormat/>
    <w:uiPriority w:val="0"/>
    <w:pPr>
      <w:widowControl/>
      <w:jc w:val="center"/>
    </w:pPr>
    <w:rPr>
      <w:rFonts w:ascii="Tahoma" w:hAnsi="Tahoma" w:eastAsia="宋体" w:cs="Times New Roman"/>
      <w:b/>
      <w:kern w:val="0"/>
      <w:sz w:val="24"/>
      <w:szCs w:val="20"/>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2">
    <w:name w:val="page number"/>
    <w:qFormat/>
    <w:uiPriority w:val="0"/>
  </w:style>
  <w:style w:type="paragraph" w:customStyle="1" w:styleId="13">
    <w:name w:val="列出段落1"/>
    <w:basedOn w:val="1"/>
    <w:qFormat/>
    <w:uiPriority w:val="34"/>
    <w:pPr>
      <w:ind w:firstLine="420" w:firstLineChars="200"/>
    </w:pPr>
    <w:rPr>
      <w:rFonts w:ascii="Calibri" w:hAnsi="Calibri" w:eastAsia="宋体" w:cs="Times New Roman"/>
    </w:rPr>
  </w:style>
  <w:style w:type="paragraph" w:customStyle="1" w:styleId="14">
    <w:name w:val="Default"/>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character" w:customStyle="1" w:styleId="15">
    <w:name w:val="页眉 Char"/>
    <w:basedOn w:val="11"/>
    <w:link w:val="6"/>
    <w:qFormat/>
    <w:uiPriority w:val="0"/>
    <w:rPr>
      <w:rFonts w:eastAsia="仿宋_GB2312" w:asciiTheme="minorHAnsi" w:hAnsiTheme="minorHAnsi" w:cstheme="minorBidi"/>
      <w:kern w:val="2"/>
      <w:sz w:val="18"/>
      <w:szCs w:val="18"/>
    </w:rPr>
  </w:style>
  <w:style w:type="character" w:customStyle="1" w:styleId="16">
    <w:name w:val="页脚 Char"/>
    <w:basedOn w:val="11"/>
    <w:link w:val="5"/>
    <w:qFormat/>
    <w:uiPriority w:val="0"/>
    <w:rPr>
      <w:rFonts w:eastAsia="仿宋_GB2312" w:asciiTheme="minorHAnsi" w:hAnsiTheme="minorHAnsi" w:cstheme="minorBidi"/>
      <w:kern w:val="2"/>
      <w:sz w:val="18"/>
      <w:szCs w:val="18"/>
    </w:rPr>
  </w:style>
  <w:style w:type="character" w:customStyle="1" w:styleId="17">
    <w:name w:val="批注框文本 Char"/>
    <w:basedOn w:val="11"/>
    <w:link w:val="4"/>
    <w:qFormat/>
    <w:uiPriority w:val="0"/>
    <w:rPr>
      <w:rFonts w:eastAsia="仿宋_GB2312" w:asciiTheme="minorHAnsi" w:hAnsiTheme="minorHAnsi" w:cstheme="minorBidi"/>
      <w:kern w:val="2"/>
      <w:sz w:val="18"/>
      <w:szCs w:val="18"/>
    </w:rPr>
  </w:style>
  <w:style w:type="character" w:customStyle="1" w:styleId="18">
    <w:name w:val="标题 Char"/>
    <w:basedOn w:val="11"/>
    <w:link w:val="8"/>
    <w:qFormat/>
    <w:uiPriority w:val="0"/>
    <w:rPr>
      <w:rFonts w:ascii="Tahoma" w:hAnsi="Tahoma"/>
      <w:b/>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27</Pages>
  <Words>2401</Words>
  <Characters>13689</Characters>
  <Lines>114</Lines>
  <Paragraphs>32</Paragraphs>
  <TotalTime>22</TotalTime>
  <ScaleCrop>false</ScaleCrop>
  <LinksUpToDate>false</LinksUpToDate>
  <CharactersWithSpaces>16058</CharactersWithSpaces>
  <Application>WPS Office_11.1.0.9305_F1E327BC-269C-435d-A152-05C5408002CA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2019-12-16T14:32:00Z</dcterms:created>
  <dc:creator>Administrator</dc:creator>
  <cp:lastModifiedBy>遗忘的硪</cp:lastModifiedBy>
  <cp:lastPrinted>2019-12-16T14:41:00Z</cp:lastPrinted>
  <dcterms:modified xsi:type="dcterms:W3CDTF">2020-01-02T06:23:50Z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2052-11.1.0.9305</vt:lpwstr>
  </property>
</Properties>
</file>